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0.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79B" w:rsidRPr="002A2BE2" w:rsidRDefault="0009779B" w:rsidP="0009779B">
      <w:pPr>
        <w:ind w:hanging="1134"/>
        <w:rPr>
          <w:b/>
          <w:bCs/>
        </w:rPr>
      </w:pPr>
      <w:bookmarkStart w:id="0" w:name="_GoBack"/>
      <w:bookmarkEnd w:id="0"/>
      <w:r w:rsidRPr="002A2BE2">
        <w:rPr>
          <w:b/>
          <w:bCs/>
        </w:rPr>
        <w:t xml:space="preserve">34 </w:t>
      </w:r>
      <w:r>
        <w:rPr>
          <w:b/>
          <w:bCs/>
        </w:rPr>
        <w:t>805</w:t>
      </w:r>
      <w:r w:rsidRPr="002A2BE2">
        <w:rPr>
          <w:b/>
          <w:bCs/>
        </w:rPr>
        <w:t xml:space="preserve"> </w:t>
      </w:r>
      <w:r w:rsidRPr="002A2BE2">
        <w:rPr>
          <w:b/>
          <w:bCs/>
        </w:rPr>
        <w:tab/>
      </w:r>
      <w:r w:rsidR="000240C5" w:rsidRPr="0009779B">
        <w:rPr>
          <w:b/>
          <w:bCs/>
        </w:rPr>
        <w:t>Samenvoeging van de gemeenten Groningen, Haren en Ten Boer</w:t>
      </w:r>
    </w:p>
    <w:p w:rsidR="0009779B" w:rsidRDefault="0009779B" w:rsidP="0009779B">
      <w:pPr>
        <w:pStyle w:val="Geenafstand"/>
      </w:pPr>
    </w:p>
    <w:p w:rsidR="000240C5" w:rsidRPr="0009779B" w:rsidRDefault="000240C5" w:rsidP="0009779B">
      <w:pPr>
        <w:rPr>
          <w:b/>
        </w:rPr>
      </w:pPr>
      <w:r w:rsidRPr="0009779B">
        <w:rPr>
          <w:b/>
        </w:rPr>
        <w:t>Nota naar aanleiding van het verslag</w:t>
      </w:r>
    </w:p>
    <w:p w:rsidR="000240C5" w:rsidRPr="0009779B" w:rsidRDefault="000240C5" w:rsidP="0009779B"/>
    <w:p w:rsidR="008B4EE6" w:rsidRPr="0009779B" w:rsidRDefault="008B4EE6" w:rsidP="0009779B">
      <w:pPr>
        <w:pStyle w:val="Kop1"/>
      </w:pPr>
      <w:r w:rsidRPr="0009779B">
        <w:t>Inhoudsopgave</w:t>
      </w:r>
    </w:p>
    <w:p w:rsidR="0009779B" w:rsidRDefault="0009779B" w:rsidP="0009779B"/>
    <w:p w:rsidR="008B4EE6" w:rsidRPr="0009779B" w:rsidRDefault="008B4EE6" w:rsidP="0009779B">
      <w:r w:rsidRPr="0009779B">
        <w:t>1.</w:t>
      </w:r>
      <w:r w:rsidRPr="0009779B">
        <w:tab/>
        <w:t>Inleiding</w:t>
      </w:r>
    </w:p>
    <w:p w:rsidR="008B4EE6" w:rsidRPr="0009779B" w:rsidRDefault="008B4EE6" w:rsidP="0009779B">
      <w:r w:rsidRPr="0009779B">
        <w:t>2.</w:t>
      </w:r>
      <w:r w:rsidRPr="0009779B">
        <w:tab/>
        <w:t>Voorgeschiedenis en totstandkoming herindelingsadvies</w:t>
      </w:r>
    </w:p>
    <w:p w:rsidR="008B4EE6" w:rsidRPr="0009779B" w:rsidRDefault="008B4EE6" w:rsidP="0009779B">
      <w:r w:rsidRPr="0009779B">
        <w:t>3.</w:t>
      </w:r>
      <w:r w:rsidRPr="0009779B">
        <w:tab/>
        <w:t>Toets aan het Beleidskader gemeentelijke herindeling</w:t>
      </w:r>
    </w:p>
    <w:p w:rsidR="008B4EE6" w:rsidRPr="0009779B" w:rsidRDefault="008B4EE6" w:rsidP="0009779B">
      <w:r w:rsidRPr="0009779B">
        <w:t xml:space="preserve">4. </w:t>
      </w:r>
      <w:r w:rsidR="005400D6" w:rsidRPr="0009779B">
        <w:tab/>
        <w:t>Financiële</w:t>
      </w:r>
      <w:r w:rsidRPr="0009779B">
        <w:t xml:space="preserve"> aspecten</w:t>
      </w:r>
    </w:p>
    <w:p w:rsidR="008B4EE6" w:rsidRDefault="008B4EE6" w:rsidP="0009779B"/>
    <w:p w:rsidR="00675405" w:rsidRPr="0009779B" w:rsidRDefault="00675405" w:rsidP="0009779B"/>
    <w:p w:rsidR="008B4EE6" w:rsidRPr="0009779B" w:rsidRDefault="008B4EE6" w:rsidP="0009779B">
      <w:pPr>
        <w:pStyle w:val="Kop1"/>
      </w:pPr>
      <w:r w:rsidRPr="0009779B">
        <w:t>1. Inleiding</w:t>
      </w:r>
    </w:p>
    <w:p w:rsidR="008B4EE6" w:rsidRPr="0009779B" w:rsidRDefault="008B4EE6" w:rsidP="0009779B"/>
    <w:p w:rsidR="00625ECF" w:rsidRDefault="000240C5" w:rsidP="0009779B">
      <w:r w:rsidRPr="0009779B">
        <w:t>Met belangstelling heb ik kennisgenomen van de vragen en opmerkingen</w:t>
      </w:r>
      <w:r w:rsidR="005349B1">
        <w:t xml:space="preserve"> van </w:t>
      </w:r>
      <w:r w:rsidRPr="005349B1">
        <w:t xml:space="preserve">de </w:t>
      </w:r>
      <w:r w:rsidR="00BF4DF0">
        <w:t xml:space="preserve">leden van de </w:t>
      </w:r>
      <w:r w:rsidRPr="003329B4">
        <w:t>fracties van de</w:t>
      </w:r>
      <w:r w:rsidR="00736433" w:rsidRPr="003329B4">
        <w:t xml:space="preserve"> VVD, </w:t>
      </w:r>
      <w:r w:rsidR="00BF4DF0">
        <w:t xml:space="preserve">het </w:t>
      </w:r>
      <w:r w:rsidR="00736433" w:rsidRPr="003329B4">
        <w:t xml:space="preserve">CDA, D66, GroenLinks, </w:t>
      </w:r>
      <w:r w:rsidR="00A7462B">
        <w:t xml:space="preserve">de </w:t>
      </w:r>
      <w:r w:rsidR="00736433" w:rsidRPr="003329B4">
        <w:t xml:space="preserve">SP, </w:t>
      </w:r>
      <w:r w:rsidR="00A7462B">
        <w:t xml:space="preserve">de </w:t>
      </w:r>
      <w:r w:rsidR="005349B1" w:rsidRPr="003329B4">
        <w:t>ChristenUnie</w:t>
      </w:r>
      <w:r w:rsidR="00736433" w:rsidRPr="003329B4">
        <w:t xml:space="preserve">, </w:t>
      </w:r>
      <w:r w:rsidR="005046C0">
        <w:t>de</w:t>
      </w:r>
      <w:r w:rsidR="00A7462B">
        <w:t xml:space="preserve"> </w:t>
      </w:r>
      <w:r w:rsidR="00736433" w:rsidRPr="003329B4">
        <w:t>SGP en 50</w:t>
      </w:r>
      <w:r w:rsidR="00A7462B">
        <w:t>P</w:t>
      </w:r>
      <w:r w:rsidR="00736433" w:rsidRPr="003329B4">
        <w:t>lus</w:t>
      </w:r>
      <w:r w:rsidRPr="003329B4">
        <w:t xml:space="preserve"> in het verslag. </w:t>
      </w:r>
      <w:r w:rsidR="00737251" w:rsidRPr="003329B4">
        <w:t xml:space="preserve">In reactie op de opmerkingen van </w:t>
      </w:r>
      <w:r w:rsidR="00BF4DF0">
        <w:t xml:space="preserve">de leden van </w:t>
      </w:r>
      <w:r w:rsidR="003329B4">
        <w:t>een aantal</w:t>
      </w:r>
      <w:r w:rsidR="00737251" w:rsidRPr="003329B4">
        <w:t xml:space="preserve"> fracties over</w:t>
      </w:r>
      <w:r w:rsidR="00D64261" w:rsidRPr="003329B4">
        <w:t xml:space="preserve"> de gevolgde procedure en het draagvlak voor deze herindeling in de gemeente Haren</w:t>
      </w:r>
      <w:r w:rsidR="00737251" w:rsidRPr="003329B4">
        <w:t xml:space="preserve"> </w:t>
      </w:r>
      <w:r w:rsidR="00625ECF" w:rsidRPr="003329B4">
        <w:t xml:space="preserve">hecht ik eraan te benadrukken dat het, zeker bij een herindeling die niet door alle betrokken </w:t>
      </w:r>
      <w:r w:rsidR="00625ECF" w:rsidRPr="005413BF">
        <w:t xml:space="preserve">gemeenten wordt onderschreven, van </w:t>
      </w:r>
      <w:r w:rsidR="0002369D" w:rsidRPr="005413BF">
        <w:t xml:space="preserve">groot </w:t>
      </w:r>
      <w:r w:rsidR="00625ECF" w:rsidRPr="005413BF">
        <w:t xml:space="preserve">belang is dat een zorgvuldige procedure wordt gevolgd. </w:t>
      </w:r>
      <w:r w:rsidR="00B157CF" w:rsidRPr="005413BF">
        <w:t>Daarvan is in dit geval sprake</w:t>
      </w:r>
      <w:r w:rsidR="00A9796F" w:rsidRPr="005413BF">
        <w:t xml:space="preserve"> geweest</w:t>
      </w:r>
      <w:r w:rsidR="00B157CF" w:rsidRPr="005413BF">
        <w:t xml:space="preserve">. </w:t>
      </w:r>
      <w:r w:rsidR="003329B4" w:rsidRPr="005413BF">
        <w:t xml:space="preserve">Vanwege aanhoudende zorgen over de positie van de </w:t>
      </w:r>
      <w:r w:rsidR="0002369D" w:rsidRPr="005413BF">
        <w:t xml:space="preserve">gemeente </w:t>
      </w:r>
      <w:r w:rsidR="003329B4" w:rsidRPr="005413BF">
        <w:t xml:space="preserve">Haren, ook in deze gemeente zelf, en omdat het bestuur van Haren niet langer bereid was met de gemeenten Groningen en Ten Boer in overleg te treden, heeft de provincie in maart 2016 een open overleg op </w:t>
      </w:r>
      <w:r w:rsidR="0002369D" w:rsidRPr="005413BF">
        <w:t xml:space="preserve">grond </w:t>
      </w:r>
      <w:r w:rsidR="003329B4" w:rsidRPr="005413BF">
        <w:t xml:space="preserve">van de Wet algemene regels herindeling </w:t>
      </w:r>
      <w:r w:rsidR="0002369D" w:rsidRPr="005413BF">
        <w:t xml:space="preserve">(Wet arhi) </w:t>
      </w:r>
      <w:r w:rsidR="003329B4" w:rsidRPr="005413BF">
        <w:t>geïnitieerd. O</w:t>
      </w:r>
      <w:r w:rsidR="00B157CF" w:rsidRPr="005413BF">
        <w:t xml:space="preserve">p basis van </w:t>
      </w:r>
      <w:r w:rsidR="00D64261" w:rsidRPr="005413BF">
        <w:t>een zorgvuldig doorlopen proces van</w:t>
      </w:r>
      <w:r w:rsidR="00737251" w:rsidRPr="005413BF">
        <w:t xml:space="preserve"> overleg en inspraak</w:t>
      </w:r>
      <w:r w:rsidR="003329B4" w:rsidRPr="005413BF">
        <w:t xml:space="preserve">, </w:t>
      </w:r>
      <w:r w:rsidR="0002369D" w:rsidRPr="005413BF">
        <w:t>waarbij tevens</w:t>
      </w:r>
      <w:r w:rsidR="00D64261" w:rsidRPr="005413BF">
        <w:t xml:space="preserve"> </w:t>
      </w:r>
      <w:r w:rsidR="00737251" w:rsidRPr="005413BF">
        <w:t>verschillende onderzoeken</w:t>
      </w:r>
      <w:r w:rsidR="00625ECF" w:rsidRPr="005413BF">
        <w:t xml:space="preserve"> </w:t>
      </w:r>
      <w:r w:rsidR="0002369D" w:rsidRPr="005413BF">
        <w:t xml:space="preserve">zijn uitgevoerd </w:t>
      </w:r>
      <w:r w:rsidR="00737251" w:rsidRPr="005413BF">
        <w:t xml:space="preserve">naar de huidige en toekomstige positie van Haren, </w:t>
      </w:r>
      <w:r w:rsidR="003329B4" w:rsidRPr="005413BF">
        <w:t xml:space="preserve">heeft de provincie </w:t>
      </w:r>
      <w:r w:rsidR="00D64261" w:rsidRPr="005413BF">
        <w:t xml:space="preserve">geadviseerd om Haren </w:t>
      </w:r>
      <w:r w:rsidR="0002369D" w:rsidRPr="005413BF">
        <w:t xml:space="preserve">deel uit te laten maken van </w:t>
      </w:r>
      <w:r w:rsidR="00D64261" w:rsidRPr="005413BF">
        <w:t>de reeds voorgenomen samenvoeging van Groningen en Ten Boer</w:t>
      </w:r>
      <w:r w:rsidR="00B157CF" w:rsidRPr="005413BF">
        <w:t xml:space="preserve">. </w:t>
      </w:r>
      <w:r w:rsidR="0002369D" w:rsidRPr="005413BF">
        <w:t xml:space="preserve">De regering heeft dit advies </w:t>
      </w:r>
      <w:r w:rsidR="00737251" w:rsidRPr="005413BF">
        <w:t xml:space="preserve">na </w:t>
      </w:r>
      <w:r w:rsidR="00B157CF" w:rsidRPr="005413BF">
        <w:t xml:space="preserve">een zorgvuldige beoordeling </w:t>
      </w:r>
      <w:r w:rsidR="0002369D" w:rsidRPr="005413BF">
        <w:t xml:space="preserve">op basis van </w:t>
      </w:r>
      <w:r w:rsidR="00B157CF" w:rsidRPr="005413BF">
        <w:t>het Beleidskader gemeentelijke herindeling overgenomen. Zoals ook in het Beleidskader wordt benadrukt</w:t>
      </w:r>
      <w:r w:rsidR="00737251" w:rsidRPr="005413BF">
        <w:t>,</w:t>
      </w:r>
      <w:r w:rsidR="00B157CF" w:rsidRPr="005413BF">
        <w:t xml:space="preserve"> dient een herindeling bij voorkeur </w:t>
      </w:r>
      <w:r w:rsidR="000A69FE" w:rsidRPr="005413BF">
        <w:t xml:space="preserve">de steun van </w:t>
      </w:r>
      <w:r w:rsidR="00D64261" w:rsidRPr="005413BF">
        <w:t>alle betrokken gemeenten</w:t>
      </w:r>
      <w:r w:rsidR="000A69FE" w:rsidRPr="005413BF">
        <w:t xml:space="preserve"> te genieten</w:t>
      </w:r>
      <w:r w:rsidR="00D64261" w:rsidRPr="005413BF">
        <w:t xml:space="preserve">, </w:t>
      </w:r>
      <w:r w:rsidR="00B157CF" w:rsidRPr="005413BF">
        <w:t xml:space="preserve">maar </w:t>
      </w:r>
      <w:r w:rsidR="00737251" w:rsidRPr="005413BF">
        <w:t xml:space="preserve">kunnen andere overwegingen prevaleren. </w:t>
      </w:r>
      <w:r w:rsidR="00B157CF" w:rsidRPr="005413BF">
        <w:t xml:space="preserve">In </w:t>
      </w:r>
      <w:r w:rsidR="00737251" w:rsidRPr="005413BF">
        <w:t xml:space="preserve">dit </w:t>
      </w:r>
      <w:r w:rsidR="00B157CF" w:rsidRPr="005413BF">
        <w:t xml:space="preserve">geval </w:t>
      </w:r>
      <w:r w:rsidR="00737251" w:rsidRPr="005413BF">
        <w:t xml:space="preserve">acht de regering </w:t>
      </w:r>
      <w:r w:rsidR="0002369D" w:rsidRPr="005413BF">
        <w:t xml:space="preserve">de kwetsbare </w:t>
      </w:r>
      <w:r w:rsidR="00E41442" w:rsidRPr="005413BF">
        <w:t xml:space="preserve">bestuurskracht en financiële </w:t>
      </w:r>
      <w:r w:rsidR="0002369D" w:rsidRPr="005413BF">
        <w:t xml:space="preserve">positie van Haren, de regionale context en de duurzaamheid van de herindeling </w:t>
      </w:r>
      <w:r w:rsidR="00737251" w:rsidRPr="005413BF">
        <w:t>doorslaggevend</w:t>
      </w:r>
      <w:r w:rsidR="0002369D" w:rsidRPr="005413BF">
        <w:t>.</w:t>
      </w:r>
      <w:r w:rsidR="00737251" w:rsidRPr="005413BF">
        <w:t xml:space="preserve"> </w:t>
      </w:r>
      <w:r w:rsidR="00E41442" w:rsidRPr="005413BF">
        <w:t xml:space="preserve">Het is onzeker of de recente stappen van de gemeente Haren om haar bestuurskracht en </w:t>
      </w:r>
      <w:r w:rsidR="00890B80" w:rsidRPr="005413BF">
        <w:t xml:space="preserve">financiële positie </w:t>
      </w:r>
      <w:r w:rsidR="00E41442" w:rsidRPr="005413BF">
        <w:t>te verbeteren voldoende zullen zijn</w:t>
      </w:r>
      <w:r w:rsidR="00890B80" w:rsidRPr="005413BF">
        <w:t>. Dit brengt risico’s mee, temeer omdat reële alternatieven voor een duurzame versterking van de bestuurskracht van Haren gelet op de ontwikkelingen in de regio</w:t>
      </w:r>
      <w:r w:rsidR="00890B80" w:rsidRPr="005413BF" w:rsidDel="006869C9">
        <w:t xml:space="preserve"> </w:t>
      </w:r>
      <w:r w:rsidR="00890B80" w:rsidRPr="005413BF">
        <w:t>de komende jaren ontbreken.</w:t>
      </w:r>
      <w:r w:rsidR="00B157CF" w:rsidRPr="005413BF">
        <w:t xml:space="preserve"> </w:t>
      </w:r>
      <w:r w:rsidR="00737251" w:rsidRPr="005413BF">
        <w:t>M</w:t>
      </w:r>
      <w:r w:rsidR="00B157CF" w:rsidRPr="005413BF">
        <w:t xml:space="preserve">et de provincie </w:t>
      </w:r>
      <w:r w:rsidR="00D64261" w:rsidRPr="005413BF">
        <w:t xml:space="preserve">Groningen </w:t>
      </w:r>
      <w:r w:rsidR="00A9796F" w:rsidRPr="005413BF">
        <w:t xml:space="preserve">acht </w:t>
      </w:r>
      <w:r w:rsidR="00737251" w:rsidRPr="005413BF">
        <w:t xml:space="preserve">de regering het wenselijk </w:t>
      </w:r>
      <w:r w:rsidR="0002369D" w:rsidRPr="005413BF">
        <w:t xml:space="preserve">om nu te komen </w:t>
      </w:r>
      <w:r w:rsidR="00B157CF" w:rsidRPr="005413BF">
        <w:t xml:space="preserve">tot een duurzame oplossing voor alle gemeenten in de regio, opdat </w:t>
      </w:r>
      <w:r w:rsidR="00737251" w:rsidRPr="005413BF">
        <w:t xml:space="preserve">deze gemeenten </w:t>
      </w:r>
      <w:r w:rsidR="00B157CF" w:rsidRPr="005413BF">
        <w:t xml:space="preserve">zich weer kunnen richten op hun taken in plaats van </w:t>
      </w:r>
      <w:r w:rsidR="00BF4DF0">
        <w:t xml:space="preserve">op </w:t>
      </w:r>
      <w:r w:rsidR="00B157CF" w:rsidRPr="005413BF">
        <w:t xml:space="preserve">voortdurende discussies over </w:t>
      </w:r>
      <w:r w:rsidR="00737251" w:rsidRPr="005413BF">
        <w:t>hun</w:t>
      </w:r>
      <w:r w:rsidR="00B157CF" w:rsidRPr="005413BF">
        <w:t xml:space="preserve"> bestuurlijke toekomst.</w:t>
      </w:r>
      <w:r w:rsidR="00B157CF" w:rsidRPr="00C96296">
        <w:t xml:space="preserve"> </w:t>
      </w:r>
    </w:p>
    <w:p w:rsidR="00625ECF" w:rsidRDefault="00625ECF" w:rsidP="0009779B"/>
    <w:p w:rsidR="000240C5" w:rsidRPr="0009779B" w:rsidRDefault="000240C5" w:rsidP="0009779B">
      <w:r w:rsidRPr="0009779B">
        <w:t xml:space="preserve">Bij de beantwoording </w:t>
      </w:r>
      <w:r w:rsidR="00676532" w:rsidRPr="0009779B">
        <w:t xml:space="preserve">van de vragen </w:t>
      </w:r>
      <w:r w:rsidR="00B157CF">
        <w:t>heb ik</w:t>
      </w:r>
      <w:r w:rsidR="00625ECF">
        <w:t xml:space="preserve"> </w:t>
      </w:r>
      <w:r w:rsidRPr="0009779B">
        <w:t xml:space="preserve">zoveel mogelijk de volgorde van het verslag aangehouden. </w:t>
      </w:r>
      <w:r w:rsidR="00676532" w:rsidRPr="0009779B">
        <w:t>In enkel</w:t>
      </w:r>
      <w:r w:rsidR="00625ECF">
        <w:t>e</w:t>
      </w:r>
      <w:r w:rsidR="00676532" w:rsidRPr="0009779B">
        <w:t xml:space="preserve"> geval</w:t>
      </w:r>
      <w:r w:rsidR="00625ECF">
        <w:t>len</w:t>
      </w:r>
      <w:r w:rsidR="00676532" w:rsidRPr="0009779B">
        <w:t xml:space="preserve"> </w:t>
      </w:r>
      <w:r w:rsidR="00625ECF">
        <w:t xml:space="preserve">zijn </w:t>
      </w:r>
      <w:r w:rsidR="00676532" w:rsidRPr="0009779B">
        <w:t xml:space="preserve">vragen </w:t>
      </w:r>
      <w:r w:rsidR="00625ECF">
        <w:t>die een</w:t>
      </w:r>
      <w:r w:rsidR="00625ECF" w:rsidRPr="0009779B">
        <w:t xml:space="preserve">zelfde onderwerp raken </w:t>
      </w:r>
      <w:r w:rsidR="00676532" w:rsidRPr="0009779B">
        <w:t>samengenomen.</w:t>
      </w:r>
      <w:r w:rsidR="00625ECF">
        <w:t xml:space="preserve"> Zo worden de vragen over de financiële situatie van de betrokken gemeenten </w:t>
      </w:r>
      <w:r w:rsidR="00B157CF">
        <w:t xml:space="preserve">vrijwel allemaal </w:t>
      </w:r>
      <w:r w:rsidR="00625ECF">
        <w:t>beantwoord in § 4.</w:t>
      </w:r>
    </w:p>
    <w:p w:rsidR="000240C5" w:rsidRPr="0009779B" w:rsidRDefault="000240C5" w:rsidP="0009779B"/>
    <w:p w:rsidR="00676532" w:rsidRPr="0009779B" w:rsidRDefault="00F35AC0" w:rsidP="0009779B">
      <w:r>
        <w:t>D</w:t>
      </w:r>
      <w:r w:rsidR="00676532" w:rsidRPr="0009779B">
        <w:t xml:space="preserve">e leden van de </w:t>
      </w:r>
      <w:r w:rsidR="00676532" w:rsidRPr="005046C0">
        <w:rPr>
          <w:b/>
        </w:rPr>
        <w:t>CDA</w:t>
      </w:r>
      <w:r w:rsidR="00676532" w:rsidRPr="0009779B">
        <w:t xml:space="preserve">-fractie </w:t>
      </w:r>
      <w:r w:rsidR="00BF4DF0">
        <w:t xml:space="preserve">vragen </w:t>
      </w:r>
      <w:r>
        <w:t>waar</w:t>
      </w:r>
      <w:r w:rsidR="00676532" w:rsidRPr="0009779B">
        <w:t xml:space="preserve">om het herindelingsadvies en de bijbehorende reactienota </w:t>
      </w:r>
      <w:r>
        <w:t>niet als bijlagen bij de memorie van toelichting zijn opgenomen</w:t>
      </w:r>
      <w:r w:rsidR="00676532" w:rsidRPr="0009779B">
        <w:t>.</w:t>
      </w:r>
      <w:r>
        <w:t xml:space="preserve"> </w:t>
      </w:r>
      <w:r w:rsidR="007B2326">
        <w:t xml:space="preserve">Anders dan in voorgaande jaren heeft de regering ervoor gekozen het herindelingsadvies aan de minister van BZK, dat strikt genomen geen deel uitmaakt van het wetsvoorstel, op digitale wijze beschikbaar te stellen. </w:t>
      </w:r>
      <w:r w:rsidR="00430B90">
        <w:t xml:space="preserve">Bij </w:t>
      </w:r>
      <w:r w:rsidR="003E4485">
        <w:t>de</w:t>
      </w:r>
      <w:r w:rsidR="007B2326">
        <w:t>ze</w:t>
      </w:r>
      <w:r w:rsidR="003E4485">
        <w:t xml:space="preserve"> keuze </w:t>
      </w:r>
      <w:r w:rsidR="00430B90">
        <w:t xml:space="preserve">speelt een rol dat herindelingsadviezen de afgelopen jaren omvangrijker zijn geworden en veelal van een groot aantal bijlagen worden voorzien, </w:t>
      </w:r>
      <w:r w:rsidR="007B2326">
        <w:t xml:space="preserve">met een totale omvang van </w:t>
      </w:r>
      <w:r w:rsidR="00430B90">
        <w:t xml:space="preserve">soms </w:t>
      </w:r>
      <w:r w:rsidR="00BF4DF0">
        <w:t xml:space="preserve">wel </w:t>
      </w:r>
      <w:r w:rsidR="00430B90">
        <w:t>honderden pagina’s</w:t>
      </w:r>
      <w:r w:rsidR="003E4485">
        <w:t xml:space="preserve">. Het meezenden van deze documenten in fysieke vorm leidt op verschillende momenten in het wetgevingsproces tot </w:t>
      </w:r>
      <w:r w:rsidR="00D41C69">
        <w:t>e</w:t>
      </w:r>
      <w:r w:rsidR="007B2326">
        <w:t>en papierproductie</w:t>
      </w:r>
      <w:r w:rsidR="00CA566F">
        <w:t xml:space="preserve"> </w:t>
      </w:r>
      <w:r w:rsidR="00D41C69">
        <w:t xml:space="preserve">die </w:t>
      </w:r>
      <w:r w:rsidR="00D41C69">
        <w:lastRenderedPageBreak/>
        <w:t xml:space="preserve">niet </w:t>
      </w:r>
      <w:r w:rsidR="00B15E84">
        <w:t>past in</w:t>
      </w:r>
      <w:r w:rsidR="00D41C69">
        <w:t xml:space="preserve"> het streven van de rijksoverheid om papierverspilling tegen te gaan.</w:t>
      </w:r>
      <w:r w:rsidR="00430B90">
        <w:t xml:space="preserve"> </w:t>
      </w:r>
      <w:r w:rsidR="00CA566F">
        <w:t xml:space="preserve">Om ervoor te zorgen dat de </w:t>
      </w:r>
      <w:r w:rsidR="007B2326">
        <w:t>Kamers en anderen van de herindelingsadviezen en de achterliggende stukken kennis kunnen nemen</w:t>
      </w:r>
      <w:r w:rsidR="00CA566F">
        <w:t xml:space="preserve">, is </w:t>
      </w:r>
      <w:r w:rsidR="00430B90">
        <w:t>ervoor gekozen de</w:t>
      </w:r>
      <w:r w:rsidR="007B2326">
        <w:t>ze documenten</w:t>
      </w:r>
      <w:r w:rsidR="00430B90">
        <w:t xml:space="preserve">, in aanvulling op de beschikbaarstelling via gemeenten en provincies, op www.rijksoverheid.nl te </w:t>
      </w:r>
      <w:r w:rsidR="007B2326">
        <w:t>publiceren</w:t>
      </w:r>
      <w:r w:rsidR="00430B90">
        <w:t>.</w:t>
      </w:r>
      <w:r w:rsidR="00676532" w:rsidRPr="0009779B">
        <w:t xml:space="preserve"> </w:t>
      </w:r>
    </w:p>
    <w:p w:rsidR="00676532" w:rsidRDefault="00676532" w:rsidP="0009779B"/>
    <w:p w:rsidR="008D72F4" w:rsidRPr="0009779B" w:rsidRDefault="008D72F4" w:rsidP="0009779B"/>
    <w:p w:rsidR="006A1701" w:rsidRPr="0009779B" w:rsidRDefault="0096096C" w:rsidP="0009779B">
      <w:pPr>
        <w:pStyle w:val="Kop1"/>
      </w:pPr>
      <w:r w:rsidRPr="0009779B">
        <w:t>2. Voorgeschiedenis en totstandkoming herindelingsadvies</w:t>
      </w:r>
    </w:p>
    <w:p w:rsidR="0096096C" w:rsidRDefault="0096096C" w:rsidP="0009779B"/>
    <w:p w:rsidR="00C75CE3" w:rsidRDefault="00675405" w:rsidP="00C75CE3">
      <w:r>
        <w:t>De leden van v</w:t>
      </w:r>
      <w:r w:rsidR="00525694">
        <w:t>erschillende fracties stellen vragen over de voorgeschiedenis</w:t>
      </w:r>
      <w:r w:rsidR="0062724B">
        <w:t xml:space="preserve"> van </w:t>
      </w:r>
      <w:r>
        <w:t>het herindelingsadvies</w:t>
      </w:r>
      <w:r w:rsidR="00C75CE3">
        <w:t>. Zo vragen d</w:t>
      </w:r>
      <w:r w:rsidR="00636EE2" w:rsidRPr="0009779B">
        <w:t xml:space="preserve">e leden van de </w:t>
      </w:r>
      <w:r w:rsidR="00636EE2" w:rsidRPr="005046C0">
        <w:rPr>
          <w:b/>
        </w:rPr>
        <w:t>VVD</w:t>
      </w:r>
      <w:r w:rsidR="00636EE2" w:rsidRPr="0009779B">
        <w:t xml:space="preserve">-fractie of </w:t>
      </w:r>
      <w:r w:rsidR="00EB51AD">
        <w:t>de provincie Groningen</w:t>
      </w:r>
      <w:r w:rsidR="00EB51AD" w:rsidRPr="0009779B">
        <w:t xml:space="preserve"> </w:t>
      </w:r>
      <w:r w:rsidR="00636EE2" w:rsidRPr="0009779B">
        <w:t xml:space="preserve">in de loop van het herindelingsproces ook andere opties </w:t>
      </w:r>
      <w:r w:rsidR="00EB51AD">
        <w:t>heeft</w:t>
      </w:r>
      <w:r w:rsidR="00EB51AD" w:rsidRPr="0009779B">
        <w:t xml:space="preserve"> </w:t>
      </w:r>
      <w:r w:rsidR="00636EE2" w:rsidRPr="0009779B">
        <w:t>onderzocht of overwogen</w:t>
      </w:r>
      <w:r w:rsidR="00BE68FC">
        <w:t xml:space="preserve"> </w:t>
      </w:r>
      <w:r w:rsidR="00BE68FC" w:rsidRPr="0009779B">
        <w:t>die wellicht beter hadden aangesloten bij de wensen van de Harense gemeenteraad</w:t>
      </w:r>
      <w:r w:rsidR="00636EE2" w:rsidRPr="0009779B">
        <w:t xml:space="preserve">. </w:t>
      </w:r>
      <w:r w:rsidR="00BE68FC">
        <w:t xml:space="preserve">Ook vragen deze leden of de gemeente Haren gedurende het herindelingsproces zelf om verkenning van andere opties heeft gevraagd. </w:t>
      </w:r>
      <w:r w:rsidR="00C75CE3" w:rsidRPr="0009779B">
        <w:t xml:space="preserve">De leden van de </w:t>
      </w:r>
      <w:r w:rsidR="00C75CE3" w:rsidRPr="005046C0">
        <w:rPr>
          <w:b/>
        </w:rPr>
        <w:t>ChristenUnie</w:t>
      </w:r>
      <w:r w:rsidR="00C75CE3" w:rsidRPr="0009779B">
        <w:t xml:space="preserve">-fractie vragen om een nadere toelichting </w:t>
      </w:r>
      <w:r w:rsidR="00BF4DF0">
        <w:t>op</w:t>
      </w:r>
      <w:r w:rsidR="00C75CE3" w:rsidRPr="0009779B">
        <w:t xml:space="preserve"> de wijze waarop het voorlopig principebesluit van 25 november 2015 van de gemeente Haren voor een herindeling met Groningen en Ten Boer tot stand is gekomen en wat daarin de doorslag gaf. De leden van de </w:t>
      </w:r>
      <w:r w:rsidR="00C75CE3" w:rsidRPr="005046C0">
        <w:rPr>
          <w:b/>
        </w:rPr>
        <w:t>SGP</w:t>
      </w:r>
      <w:r w:rsidR="00C75CE3" w:rsidRPr="0009779B">
        <w:t>-fractie vragen of hun indruk klopt dat er zeker op de iets langere termijn geen grote belemmeringen zouden zijn voor intensieve samenwerking met de gemeente Tynaarlo of mogelijk met andere gemeenten en of deze optie in de achterliggende jaren is onderzocht.</w:t>
      </w:r>
    </w:p>
    <w:p w:rsidR="00C75CE3" w:rsidRDefault="00C75CE3" w:rsidP="00C75CE3"/>
    <w:p w:rsidR="00DF1F2C" w:rsidRDefault="00EB51AD" w:rsidP="00C75CE3">
      <w:r>
        <w:t xml:space="preserve">In de aanloop naar het herindelingsadvies </w:t>
      </w:r>
      <w:r w:rsidR="00BE68FC">
        <w:t xml:space="preserve">hebben de </w:t>
      </w:r>
      <w:r>
        <w:t>provincie Groningen</w:t>
      </w:r>
      <w:r w:rsidR="00BE68FC">
        <w:t xml:space="preserve"> en </w:t>
      </w:r>
      <w:r>
        <w:t>d</w:t>
      </w:r>
      <w:r w:rsidRPr="0009779B">
        <w:t xml:space="preserve">e </w:t>
      </w:r>
      <w:r w:rsidR="00636EE2" w:rsidRPr="0009779B">
        <w:t xml:space="preserve">gemeente Haren verschillende opties van samenwerking en herindeling </w:t>
      </w:r>
      <w:r w:rsidR="00BE68FC">
        <w:t>verkend</w:t>
      </w:r>
      <w:r w:rsidR="00636EE2" w:rsidRPr="0009779B">
        <w:t xml:space="preserve">. </w:t>
      </w:r>
      <w:r w:rsidR="004C4CF7">
        <w:t xml:space="preserve">Zo heeft </w:t>
      </w:r>
      <w:r w:rsidR="00636EE2" w:rsidRPr="0009779B">
        <w:t xml:space="preserve">Haren </w:t>
      </w:r>
      <w:r w:rsidR="004C4CF7">
        <w:t>in 2012 een sterkte-zwakte</w:t>
      </w:r>
      <w:r w:rsidR="00636EE2" w:rsidRPr="0009779B">
        <w:t>analyse van de gemeentelijke organisatie gemaakt</w:t>
      </w:r>
      <w:r w:rsidR="004C4CF7">
        <w:t xml:space="preserve">, </w:t>
      </w:r>
      <w:r w:rsidR="00BE68FC">
        <w:t>op basis waarvan</w:t>
      </w:r>
      <w:r w:rsidR="004C4CF7">
        <w:t xml:space="preserve"> de</w:t>
      </w:r>
      <w:r w:rsidR="00636EE2" w:rsidRPr="0009779B">
        <w:t xml:space="preserve"> raad </w:t>
      </w:r>
      <w:r w:rsidR="004C4CF7">
        <w:t xml:space="preserve">concludeerde dat het vanwege de </w:t>
      </w:r>
      <w:r w:rsidR="00636EE2" w:rsidRPr="0009779B">
        <w:t xml:space="preserve">kwetsbaarheden van de gemeentelijke organisatie van belang is samenwerking te zoeken met andere gemeenten, om ervoor te zorgen dat </w:t>
      </w:r>
      <w:r w:rsidR="00BE3990" w:rsidRPr="0009779B">
        <w:t xml:space="preserve">de gemeente Haren </w:t>
      </w:r>
      <w:r w:rsidR="00636EE2" w:rsidRPr="0009779B">
        <w:t xml:space="preserve">ook in de toekomst haar taken zo goed mogelijk kan uitoefenen. </w:t>
      </w:r>
      <w:r w:rsidR="004C4CF7">
        <w:t xml:space="preserve">Vervolgens heeft </w:t>
      </w:r>
      <w:r w:rsidR="00636EE2" w:rsidRPr="0009779B">
        <w:t xml:space="preserve">het college </w:t>
      </w:r>
      <w:r w:rsidR="004C4CF7">
        <w:t>in de periode maart tot juni 2013 in</w:t>
      </w:r>
      <w:r w:rsidR="004C4CF7" w:rsidRPr="0009779B">
        <w:t xml:space="preserve"> </w:t>
      </w:r>
      <w:r w:rsidR="00636EE2" w:rsidRPr="0009779B">
        <w:t xml:space="preserve">opdracht </w:t>
      </w:r>
      <w:r w:rsidR="004C4CF7">
        <w:t xml:space="preserve">van de raad </w:t>
      </w:r>
      <w:r w:rsidR="00636EE2" w:rsidRPr="0009779B">
        <w:t xml:space="preserve">een verkenning </w:t>
      </w:r>
      <w:r w:rsidR="004C4CF7">
        <w:t>gemaakt</w:t>
      </w:r>
      <w:r>
        <w:t xml:space="preserve"> </w:t>
      </w:r>
      <w:r w:rsidR="00636EE2" w:rsidRPr="0009779B">
        <w:t xml:space="preserve">van samenwerkingsmogelijkheden met omliggende gemeenten. De resultaten daarvan zijn neergelegd in de notitie </w:t>
      </w:r>
      <w:r w:rsidR="00636EE2" w:rsidRPr="00BE68FC">
        <w:rPr>
          <w:i/>
        </w:rPr>
        <w:t>Verkenning van samenwerking</w:t>
      </w:r>
      <w:r w:rsidR="00636EE2" w:rsidRPr="0009779B">
        <w:t>. In deze notitie concludeerde het college dat samenwerken met een of meer andere Groninger gemeenten niet tot de mogelijkheden behoor</w:t>
      </w:r>
      <w:r w:rsidR="00BF4DF0">
        <w:t>de</w:t>
      </w:r>
      <w:r w:rsidR="00636EE2" w:rsidRPr="0009779B">
        <w:t>, omdat alle mogelijke samenwerkingspartners k</w:t>
      </w:r>
      <w:r w:rsidR="00BF4DF0">
        <w:t>o</w:t>
      </w:r>
      <w:r w:rsidR="00636EE2" w:rsidRPr="0009779B">
        <w:t xml:space="preserve">zen voor </w:t>
      </w:r>
      <w:r w:rsidR="00BE3990">
        <w:t>herindeling</w:t>
      </w:r>
      <w:r w:rsidR="00636EE2" w:rsidRPr="0009779B">
        <w:t xml:space="preserve">. Deze notitie </w:t>
      </w:r>
      <w:r w:rsidR="004C4CF7">
        <w:t>is</w:t>
      </w:r>
      <w:r w:rsidR="004C4CF7" w:rsidRPr="0009779B">
        <w:t xml:space="preserve"> </w:t>
      </w:r>
      <w:r w:rsidR="00636EE2" w:rsidRPr="0009779B">
        <w:t xml:space="preserve">op 24 juni 2013 in de raad van Haren besproken, waarbij een meerderheid concludeerde dat herindeling </w:t>
      </w:r>
      <w:r w:rsidR="00BE3990">
        <w:t>‘</w:t>
      </w:r>
      <w:r w:rsidR="00636EE2" w:rsidRPr="0009779B">
        <w:t>onontkoombaar</w:t>
      </w:r>
      <w:r w:rsidR="00BE3990">
        <w:t>’</w:t>
      </w:r>
      <w:r w:rsidR="00636EE2" w:rsidRPr="0009779B">
        <w:t xml:space="preserve"> </w:t>
      </w:r>
      <w:r w:rsidR="00BF4DF0">
        <w:t>was</w:t>
      </w:r>
      <w:r w:rsidR="00636EE2" w:rsidRPr="0009779B">
        <w:t xml:space="preserve">. Er werden voor het vervolg drie herindelingsopties onderscheiden: </w:t>
      </w:r>
    </w:p>
    <w:p w:rsidR="00DF1F2C" w:rsidRDefault="00636EE2" w:rsidP="00DF1F2C">
      <w:pPr>
        <w:pStyle w:val="Lijstalinea"/>
        <w:numPr>
          <w:ilvl w:val="0"/>
          <w:numId w:val="31"/>
        </w:numPr>
      </w:pPr>
      <w:r w:rsidRPr="0009779B">
        <w:t xml:space="preserve">een herindeling met Groningen, Ten Boer en Meerstad (dat per 1 januari 2017 met een grenscorrectie is overgegaan van de gemeente Slochteren naar de gemeente Groningen), </w:t>
      </w:r>
    </w:p>
    <w:p w:rsidR="00DF1F2C" w:rsidRDefault="00636EE2" w:rsidP="00DF1F2C">
      <w:pPr>
        <w:pStyle w:val="Lijstalinea"/>
        <w:numPr>
          <w:ilvl w:val="0"/>
          <w:numId w:val="31"/>
        </w:numPr>
      </w:pPr>
      <w:r w:rsidRPr="0009779B">
        <w:t>een herindeling met Hoogezand-Sappemeer, Slochteren en Menterwolde (per 1 januari 2018 zijn deze gemeenten opgegaan in de nieuwe gemeente Midden-Groningen)</w:t>
      </w:r>
      <w:r w:rsidR="00DF1F2C">
        <w:t>,</w:t>
      </w:r>
      <w:r w:rsidRPr="0009779B">
        <w:t xml:space="preserve"> en </w:t>
      </w:r>
    </w:p>
    <w:p w:rsidR="00DF1F2C" w:rsidRDefault="00636EE2" w:rsidP="00DF1F2C">
      <w:pPr>
        <w:pStyle w:val="Lijstalinea"/>
        <w:numPr>
          <w:ilvl w:val="0"/>
          <w:numId w:val="31"/>
        </w:numPr>
      </w:pPr>
      <w:r w:rsidRPr="0009779B">
        <w:t xml:space="preserve">een herindeling met de Drentse gemeente Tynaarlo. </w:t>
      </w:r>
    </w:p>
    <w:p w:rsidR="00DF1F2C" w:rsidRDefault="00DF1F2C" w:rsidP="00DF1F2C"/>
    <w:p w:rsidR="00B57842" w:rsidRDefault="00636EE2" w:rsidP="0009779B">
      <w:r w:rsidRPr="0009779B">
        <w:t xml:space="preserve">Op 14 oktober 2013 besloot de raad </w:t>
      </w:r>
      <w:r w:rsidR="00BE3990">
        <w:t xml:space="preserve">de tweede optie, </w:t>
      </w:r>
      <w:r w:rsidRPr="0009779B">
        <w:t xml:space="preserve">de </w:t>
      </w:r>
      <w:r w:rsidR="00BE3990">
        <w:t>zogeheten ‘Gorechtvariant’,</w:t>
      </w:r>
      <w:r w:rsidRPr="0009779B">
        <w:t xml:space="preserve"> niet te betrekken bij het vervolgonderzoek. Op 25 november 2013 viel de keuze van de raad op </w:t>
      </w:r>
      <w:r w:rsidR="00D27CBF">
        <w:t>een herindeling met Groningen, Ten Boer en Meerstad</w:t>
      </w:r>
      <w:r w:rsidR="00B57842">
        <w:t>, waarover de raad een voorlopig principebesluit nam</w:t>
      </w:r>
      <w:r w:rsidRPr="0009779B">
        <w:t xml:space="preserve">. </w:t>
      </w:r>
      <w:r w:rsidR="00D80447" w:rsidRPr="0009779B">
        <w:t xml:space="preserve">De keuze werd gemotiveerd met de conclusie dat </w:t>
      </w:r>
      <w:r w:rsidR="00B57842">
        <w:t xml:space="preserve">deze variant, </w:t>
      </w:r>
      <w:r w:rsidR="00D80447" w:rsidRPr="0009779B">
        <w:t>g</w:t>
      </w:r>
      <w:r w:rsidRPr="0009779B">
        <w:t>etoetst aan de criteria van gedeputeerde staten en het Beleidskader gemeentelijke herindeling</w:t>
      </w:r>
      <w:r w:rsidR="00B57842">
        <w:t>,</w:t>
      </w:r>
      <w:r w:rsidR="00C36EDD">
        <w:t xml:space="preserve"> </w:t>
      </w:r>
      <w:r w:rsidRPr="0009779B">
        <w:t xml:space="preserve">in sterkere mate </w:t>
      </w:r>
      <w:r w:rsidR="00D80447" w:rsidRPr="0009779B">
        <w:t xml:space="preserve">voldeed </w:t>
      </w:r>
      <w:r w:rsidRPr="0009779B">
        <w:t xml:space="preserve">aan </w:t>
      </w:r>
      <w:r w:rsidR="00637A91">
        <w:t xml:space="preserve">de criteria </w:t>
      </w:r>
      <w:r w:rsidRPr="0009779B">
        <w:t>du</w:t>
      </w:r>
      <w:r w:rsidR="00B57842">
        <w:t>urzaamheid</w:t>
      </w:r>
      <w:r w:rsidR="00C36EDD">
        <w:t xml:space="preserve"> en </w:t>
      </w:r>
      <w:r w:rsidR="00637A91" w:rsidRPr="00C96296">
        <w:t>‘nodaliteit’</w:t>
      </w:r>
      <w:r w:rsidR="00637A91" w:rsidRPr="00C96296">
        <w:rPr>
          <w:rStyle w:val="Voetnootmarkering"/>
        </w:rPr>
        <w:footnoteReference w:id="1"/>
      </w:r>
      <w:r w:rsidRPr="0009779B">
        <w:t xml:space="preserve"> dan </w:t>
      </w:r>
      <w:r w:rsidR="00B57842">
        <w:t xml:space="preserve">een herindeling met </w:t>
      </w:r>
      <w:r w:rsidRPr="0009779B">
        <w:t>Tynaarlo.</w:t>
      </w:r>
      <w:r w:rsidR="00D80447" w:rsidRPr="0009779B">
        <w:t xml:space="preserve"> </w:t>
      </w:r>
      <w:r w:rsidR="00B57842" w:rsidRPr="0009779B">
        <w:t xml:space="preserve">De </w:t>
      </w:r>
      <w:r w:rsidR="00675405">
        <w:t xml:space="preserve">voorgeschiedenis en </w:t>
      </w:r>
      <w:r w:rsidR="00B57842" w:rsidRPr="0009779B">
        <w:t xml:space="preserve">afwegingen </w:t>
      </w:r>
      <w:r w:rsidR="00B57842">
        <w:t xml:space="preserve">die </w:t>
      </w:r>
      <w:r w:rsidR="00B57842">
        <w:lastRenderedPageBreak/>
        <w:t xml:space="preserve">ten grondslag lagen aan </w:t>
      </w:r>
      <w:r w:rsidR="00B57842" w:rsidRPr="0009779B">
        <w:t xml:space="preserve">het voorlopig principebesluit zijn </w:t>
      </w:r>
      <w:r w:rsidR="00B57842">
        <w:t>uitgebreid</w:t>
      </w:r>
      <w:r w:rsidR="005845AC">
        <w:t xml:space="preserve"> </w:t>
      </w:r>
      <w:r w:rsidR="00B57842" w:rsidRPr="0009779B">
        <w:t xml:space="preserve">beschreven in het raadsvoorstel voor </w:t>
      </w:r>
      <w:r w:rsidR="00E579AD">
        <w:t>dat besluit</w:t>
      </w:r>
      <w:r w:rsidR="00374DAB">
        <w:t>.</w:t>
      </w:r>
      <w:r w:rsidR="00B57842">
        <w:rPr>
          <w:rStyle w:val="Voetnootmarkering"/>
        </w:rPr>
        <w:footnoteReference w:id="2"/>
      </w:r>
      <w:r w:rsidR="00B57842">
        <w:t xml:space="preserve"> </w:t>
      </w:r>
    </w:p>
    <w:p w:rsidR="00B57842" w:rsidRDefault="00B57842" w:rsidP="0009779B"/>
    <w:p w:rsidR="00636EE2" w:rsidRPr="0009779B" w:rsidRDefault="00636EE2" w:rsidP="0009779B">
      <w:r w:rsidRPr="0009779B">
        <w:t>Na de raadsverkiezingen van maart 2014 heeft de raad van Haren op 24 april 2014 het college opnieuw de opdracht gegeven de bestuurlijke toekomst van de gemeente Haren te verkennen</w:t>
      </w:r>
      <w:r w:rsidR="00675405">
        <w:t xml:space="preserve">. Dit zou volgens de raad </w:t>
      </w:r>
      <w:r w:rsidRPr="0009779B">
        <w:t>moet</w:t>
      </w:r>
      <w:r w:rsidR="00B57842">
        <w:t>en</w:t>
      </w:r>
      <w:r w:rsidRPr="0009779B">
        <w:t xml:space="preserve"> leiden tot een </w:t>
      </w:r>
      <w:r w:rsidR="00B57842">
        <w:t>‘</w:t>
      </w:r>
      <w:r w:rsidRPr="0009779B">
        <w:t>bestendige en duurzame bestuurlijke oplossing</w:t>
      </w:r>
      <w:r w:rsidR="00C36EDD">
        <w:t>’</w:t>
      </w:r>
      <w:r w:rsidRPr="0009779B">
        <w:t xml:space="preserve">. Op 12 januari 2015 besloot de raad het college op te dragen een herindeling met de gemeente Tynaarlo te verkennen. </w:t>
      </w:r>
      <w:r w:rsidR="00A011A0">
        <w:t>D</w:t>
      </w:r>
      <w:r w:rsidR="00A011A0" w:rsidRPr="00A011A0">
        <w:t xml:space="preserve">e gemeente Tynaarlo </w:t>
      </w:r>
      <w:r w:rsidR="00A011A0">
        <w:t xml:space="preserve">wees </w:t>
      </w:r>
      <w:r w:rsidR="00A011A0" w:rsidRPr="00A011A0">
        <w:t>de mogelijkheid van verdergaande samenwerking of herindeling met Haren</w:t>
      </w:r>
      <w:r w:rsidR="00DD654A">
        <w:t xml:space="preserve"> op dat moment</w:t>
      </w:r>
      <w:r w:rsidR="00A011A0" w:rsidRPr="00A011A0">
        <w:t xml:space="preserve"> </w:t>
      </w:r>
      <w:r w:rsidR="00A011A0">
        <w:t>echter af</w:t>
      </w:r>
      <w:r w:rsidR="005307E9">
        <w:t>, waarna</w:t>
      </w:r>
      <w:r w:rsidR="00A011A0">
        <w:t xml:space="preserve"> </w:t>
      </w:r>
      <w:r w:rsidRPr="0009779B">
        <w:t xml:space="preserve">de raad van Haren op 14 december 2015 </w:t>
      </w:r>
      <w:r w:rsidR="005307E9">
        <w:t xml:space="preserve">besloot </w:t>
      </w:r>
      <w:r w:rsidRPr="0009779B">
        <w:t>de zelfstandige status van de gemeente Haren te</w:t>
      </w:r>
      <w:r w:rsidR="00C36EDD">
        <w:t xml:space="preserve"> willen</w:t>
      </w:r>
      <w:r w:rsidRPr="0009779B">
        <w:t xml:space="preserve"> continueren</w:t>
      </w:r>
      <w:r w:rsidR="00E579AD">
        <w:t>.</w:t>
      </w:r>
      <w:r w:rsidR="00C830FA">
        <w:rPr>
          <w:rStyle w:val="Voetnootmarkering"/>
        </w:rPr>
        <w:footnoteReference w:id="3"/>
      </w:r>
      <w:r w:rsidRPr="0009779B">
        <w:t xml:space="preserve"> </w:t>
      </w:r>
    </w:p>
    <w:p w:rsidR="00636EE2" w:rsidRPr="0009779B" w:rsidRDefault="00636EE2" w:rsidP="0009779B"/>
    <w:p w:rsidR="00636EE2" w:rsidRPr="0009779B" w:rsidRDefault="00A011A0" w:rsidP="0009779B">
      <w:r w:rsidRPr="005413BF">
        <w:t xml:space="preserve">Omdat de gemeente Haren geen gehoor gaf aan het advies </w:t>
      </w:r>
      <w:r w:rsidR="009B0731">
        <w:t xml:space="preserve">van de provincie </w:t>
      </w:r>
      <w:r w:rsidRPr="005413BF">
        <w:t xml:space="preserve">om met de gemeenten Groningen en Ten Boer in overleg te treden, </w:t>
      </w:r>
      <w:r w:rsidR="00830DAE" w:rsidRPr="005413BF">
        <w:t xml:space="preserve">heeft de provincie Groningen </w:t>
      </w:r>
      <w:r w:rsidRPr="005413BF">
        <w:t xml:space="preserve">in </w:t>
      </w:r>
      <w:r w:rsidR="00830DAE" w:rsidRPr="005413BF">
        <w:t>maart 2016</w:t>
      </w:r>
      <w:r w:rsidRPr="005413BF">
        <w:t xml:space="preserve"> </w:t>
      </w:r>
      <w:r w:rsidR="000D40AC" w:rsidRPr="005413BF">
        <w:t>een</w:t>
      </w:r>
      <w:r w:rsidRPr="005413BF">
        <w:t xml:space="preserve"> </w:t>
      </w:r>
      <w:r w:rsidR="00D16F08" w:rsidRPr="005413BF">
        <w:t>open overleg</w:t>
      </w:r>
      <w:r w:rsidRPr="005413BF">
        <w:t xml:space="preserve"> op basis van de Wet arhi geïnitieerd. </w:t>
      </w:r>
      <w:r w:rsidR="00636EE2" w:rsidRPr="005413BF">
        <w:t xml:space="preserve">Tijdens het open overleg </w:t>
      </w:r>
      <w:r w:rsidR="00C36EDD" w:rsidRPr="005413BF">
        <w:t xml:space="preserve">heeft de provincie </w:t>
      </w:r>
      <w:r w:rsidR="00636EE2" w:rsidRPr="005413BF">
        <w:t xml:space="preserve">de </w:t>
      </w:r>
      <w:r w:rsidR="00C36EDD" w:rsidRPr="005413BF">
        <w:t>gemeenten Groningen, Haren en Ten Boer</w:t>
      </w:r>
      <w:r w:rsidR="00636EE2" w:rsidRPr="005413BF">
        <w:t xml:space="preserve"> </w:t>
      </w:r>
      <w:r w:rsidR="00C36EDD" w:rsidRPr="005413BF">
        <w:t>gevraagd w</w:t>
      </w:r>
      <w:r w:rsidR="00636EE2" w:rsidRPr="005413BF">
        <w:t>elke</w:t>
      </w:r>
      <w:r w:rsidR="00636EE2" w:rsidRPr="0009779B">
        <w:t xml:space="preserve"> andere bestuurlijke oplossingen </w:t>
      </w:r>
      <w:r w:rsidR="005307E9">
        <w:t>bespreekbaar waren om</w:t>
      </w:r>
      <w:r w:rsidR="005307E9" w:rsidRPr="0009779B">
        <w:t xml:space="preserve"> </w:t>
      </w:r>
      <w:r w:rsidR="00636EE2" w:rsidRPr="0009779B">
        <w:t xml:space="preserve">Haren </w:t>
      </w:r>
      <w:r w:rsidR="005307E9">
        <w:t xml:space="preserve">te </w:t>
      </w:r>
      <w:r w:rsidR="00636EE2" w:rsidRPr="0009779B">
        <w:t>helpen de geconstateerde knelpunten duurzaam op te lossen</w:t>
      </w:r>
      <w:r w:rsidR="00C36EDD">
        <w:t>.</w:t>
      </w:r>
      <w:r w:rsidR="00C36EDD" w:rsidRPr="0009779B">
        <w:t xml:space="preserve"> </w:t>
      </w:r>
      <w:r w:rsidR="00636EE2" w:rsidRPr="0009779B">
        <w:t xml:space="preserve">Het college van Haren heeft </w:t>
      </w:r>
      <w:r w:rsidR="00C36EDD">
        <w:t xml:space="preserve">zich </w:t>
      </w:r>
      <w:r w:rsidR="00636EE2" w:rsidRPr="0009779B">
        <w:t xml:space="preserve">daarbij </w:t>
      </w:r>
      <w:r w:rsidR="00C36EDD">
        <w:t xml:space="preserve">op het standpunt </w:t>
      </w:r>
      <w:r w:rsidR="00636EE2" w:rsidRPr="0009779B">
        <w:t>gesteld</w:t>
      </w:r>
      <w:r w:rsidR="00C36EDD">
        <w:t xml:space="preserve"> dat er geen andere oplossingen zijn dan de </w:t>
      </w:r>
      <w:r w:rsidR="00636EE2" w:rsidRPr="0009779B">
        <w:t xml:space="preserve">twee </w:t>
      </w:r>
      <w:r w:rsidR="00C36EDD">
        <w:t>‘</w:t>
      </w:r>
      <w:r w:rsidR="00636EE2" w:rsidRPr="0009779B">
        <w:t>sporen</w:t>
      </w:r>
      <w:r w:rsidR="00C36EDD">
        <w:t xml:space="preserve">’ die Haren op dat moment onderzocht, te weten </w:t>
      </w:r>
      <w:r w:rsidR="00D80447" w:rsidRPr="0009779B">
        <w:t>zelfstandigheid</w:t>
      </w:r>
      <w:r w:rsidR="00C36EDD">
        <w:t xml:space="preserve"> en</w:t>
      </w:r>
      <w:r w:rsidR="00C36EDD" w:rsidRPr="0009779B">
        <w:t xml:space="preserve"> </w:t>
      </w:r>
      <w:r w:rsidR="00675405">
        <w:t xml:space="preserve">een </w:t>
      </w:r>
      <w:r w:rsidR="00D80447" w:rsidRPr="0009779B">
        <w:t>herindeling met Groningen en Ten Boer</w:t>
      </w:r>
      <w:r w:rsidR="00636EE2" w:rsidRPr="0009779B">
        <w:t xml:space="preserve">. Haren heeft </w:t>
      </w:r>
      <w:r w:rsidR="00BE68FC">
        <w:t>in het open overleg dan ook</w:t>
      </w:r>
      <w:r w:rsidR="00636EE2" w:rsidRPr="0009779B">
        <w:t xml:space="preserve"> niet </w:t>
      </w:r>
      <w:r w:rsidR="00675405" w:rsidRPr="0009779B">
        <w:t xml:space="preserve">gevraagd </w:t>
      </w:r>
      <w:r w:rsidR="00636EE2" w:rsidRPr="0009779B">
        <w:t xml:space="preserve">om </w:t>
      </w:r>
      <w:r w:rsidR="00BE68FC">
        <w:t xml:space="preserve">onderzoek naar </w:t>
      </w:r>
      <w:r w:rsidR="00636EE2" w:rsidRPr="0009779B">
        <w:t>andere opties.</w:t>
      </w:r>
    </w:p>
    <w:p w:rsidR="00D80447" w:rsidRDefault="00D80447" w:rsidP="0009779B"/>
    <w:p w:rsidR="00B15E84" w:rsidRPr="00B15E84" w:rsidRDefault="00B15E84" w:rsidP="00B15E84">
      <w:r w:rsidRPr="00B15E84">
        <w:t xml:space="preserve">Voorts </w:t>
      </w:r>
      <w:r w:rsidR="0062724B">
        <w:t>vragen</w:t>
      </w:r>
      <w:r w:rsidRPr="00B15E84">
        <w:t xml:space="preserve"> de leden van de </w:t>
      </w:r>
      <w:r w:rsidRPr="005046C0">
        <w:rPr>
          <w:b/>
        </w:rPr>
        <w:t>VVD</w:t>
      </w:r>
      <w:r w:rsidRPr="00B15E84">
        <w:t xml:space="preserve">-fractie hoe de gemeenten Groningen en Ten Boer aankijken tegen </w:t>
      </w:r>
      <w:r w:rsidR="00283E45">
        <w:t>een samenvoeging waarbij Haren niet betrokken is</w:t>
      </w:r>
      <w:r w:rsidR="00B57842">
        <w:t>. Navraag bij de</w:t>
      </w:r>
      <w:r w:rsidRPr="00B15E84">
        <w:t xml:space="preserve"> gemeenten </w:t>
      </w:r>
      <w:r w:rsidR="00B57842">
        <w:t xml:space="preserve">Groningen en Ten Boer </w:t>
      </w:r>
      <w:r w:rsidRPr="00B15E84">
        <w:t>leert dat de</w:t>
      </w:r>
      <w:r w:rsidR="00B57842">
        <w:t>ze</w:t>
      </w:r>
      <w:r w:rsidRPr="00B15E84">
        <w:t xml:space="preserve"> gemeenten hechten aan de vorming van een nieuwe gemeente </w:t>
      </w:r>
      <w:r w:rsidR="00B57842">
        <w:t xml:space="preserve">inclusief de gemeente </w:t>
      </w:r>
      <w:r w:rsidRPr="00B15E84">
        <w:t xml:space="preserve">Haren. De voorgeschiedenis en de vervolgstappen die beide gemeenten hebben gezet, laten daarover </w:t>
      </w:r>
      <w:r w:rsidR="00283E45">
        <w:t>evenmin</w:t>
      </w:r>
      <w:r w:rsidRPr="00B15E84">
        <w:t xml:space="preserve"> twijfel bestaan. </w:t>
      </w:r>
      <w:r w:rsidR="00B57842">
        <w:t>Zo hebben d</w:t>
      </w:r>
      <w:r w:rsidRPr="00B15E84">
        <w:t xml:space="preserve">e raden </w:t>
      </w:r>
      <w:r w:rsidR="00B57842">
        <w:t xml:space="preserve">van </w:t>
      </w:r>
      <w:r w:rsidRPr="00B15E84">
        <w:t xml:space="preserve">Groningen en Ten Boer </w:t>
      </w:r>
      <w:r w:rsidR="00283E45" w:rsidRPr="00B15E84">
        <w:t xml:space="preserve">de gemeente Haren </w:t>
      </w:r>
      <w:r w:rsidRPr="00B15E84">
        <w:t xml:space="preserve">op 16 december 2015 uitgenodigd om aan een gezamenlijke verkenning </w:t>
      </w:r>
      <w:r w:rsidR="00283E45">
        <w:t xml:space="preserve">van een mogelijke herindeling </w:t>
      </w:r>
      <w:r w:rsidRPr="00B15E84">
        <w:t xml:space="preserve">deel te nemen. Haren heeft </w:t>
      </w:r>
      <w:r w:rsidR="00B57842">
        <w:t xml:space="preserve">hieraan destijds </w:t>
      </w:r>
      <w:r w:rsidRPr="00B15E84">
        <w:t xml:space="preserve">geen gevolg gegeven. In de fase van het open overleg hebben de colleges van </w:t>
      </w:r>
      <w:r w:rsidR="00283E45">
        <w:t xml:space="preserve">de drie gemeenten </w:t>
      </w:r>
      <w:r w:rsidRPr="00B15E84">
        <w:t>wel gezamenlijk de meerwaarde en co</w:t>
      </w:r>
      <w:r w:rsidR="00283E45">
        <w:t xml:space="preserve">ntouren van een herindeling </w:t>
      </w:r>
      <w:r w:rsidRPr="00B15E84">
        <w:t>verkend</w:t>
      </w:r>
      <w:r w:rsidR="00283E45">
        <w:t xml:space="preserve">, wat heeft geleid tot de </w:t>
      </w:r>
      <w:r w:rsidRPr="00283E45">
        <w:rPr>
          <w:i/>
        </w:rPr>
        <w:t>Verkenning gemeentelijke herindeling Groningen, Haren en Ten Boer</w:t>
      </w:r>
      <w:r w:rsidRPr="00B15E84">
        <w:t xml:space="preserve"> </w:t>
      </w:r>
      <w:r w:rsidR="00283E45">
        <w:t>van 2 juni 2016</w:t>
      </w:r>
      <w:r w:rsidRPr="00B15E84">
        <w:t xml:space="preserve">. Deze verkenning vormde de basis voor de visie van de drie colleges op de nieuwe gemeente die is opgenomen in </w:t>
      </w:r>
      <w:r w:rsidR="00283E45">
        <w:t xml:space="preserve">hoofdstuk 4 van </w:t>
      </w:r>
      <w:r w:rsidRPr="00B15E84">
        <w:t xml:space="preserve">het </w:t>
      </w:r>
      <w:r w:rsidR="00283E45">
        <w:t>herindelingsadvies</w:t>
      </w:r>
      <w:r w:rsidRPr="00B15E84">
        <w:t xml:space="preserve">. </w:t>
      </w:r>
      <w:r w:rsidR="00283E45">
        <w:t>Over dit herindelingsadvies hebben d</w:t>
      </w:r>
      <w:r w:rsidRPr="00B15E84">
        <w:t xml:space="preserve">e raden </w:t>
      </w:r>
      <w:r w:rsidR="00283E45">
        <w:t xml:space="preserve">van Groningen en Ten Boer beide </w:t>
      </w:r>
      <w:r w:rsidRPr="00B15E84">
        <w:t xml:space="preserve">een </w:t>
      </w:r>
      <w:r w:rsidR="00675405">
        <w:t xml:space="preserve">positieve </w:t>
      </w:r>
      <w:r w:rsidRPr="00B15E84">
        <w:t xml:space="preserve">zienswijze gegeven. </w:t>
      </w:r>
      <w:r w:rsidR="00283E45">
        <w:t xml:space="preserve">Daarin </w:t>
      </w:r>
      <w:r w:rsidR="00830DAE">
        <w:t>oordelen</w:t>
      </w:r>
      <w:r w:rsidRPr="00B15E84">
        <w:t xml:space="preserve"> de raden positief over een herindeling met Haren</w:t>
      </w:r>
      <w:r w:rsidR="00283E45">
        <w:t>,</w:t>
      </w:r>
      <w:r w:rsidRPr="00B15E84">
        <w:t xml:space="preserve"> die de nieuwe gemeente </w:t>
      </w:r>
      <w:r w:rsidR="00283E45">
        <w:t xml:space="preserve">naar hun oordeel </w:t>
      </w:r>
      <w:r w:rsidRPr="00B15E84">
        <w:t>veelzijdiger en sterker zal maken.</w:t>
      </w:r>
    </w:p>
    <w:p w:rsidR="00B15E84" w:rsidRPr="0009779B" w:rsidRDefault="00B15E84" w:rsidP="0009779B"/>
    <w:p w:rsidR="00F52577" w:rsidRDefault="0096096C" w:rsidP="0009779B">
      <w:r w:rsidRPr="0009779B">
        <w:t xml:space="preserve">De leden van de </w:t>
      </w:r>
      <w:r w:rsidRPr="005046C0">
        <w:rPr>
          <w:b/>
        </w:rPr>
        <w:t>CDA</w:t>
      </w:r>
      <w:r w:rsidRPr="0009779B">
        <w:t>-fractie vragen de regering een nadere onderbouwing te geven van de beoordeling van de bestuurskracht van de gemeente Haren bij een zelfstandig voortbestaan</w:t>
      </w:r>
      <w:r w:rsidR="00BE68FC">
        <w:t>, alsmede hoe</w:t>
      </w:r>
      <w:r w:rsidRPr="0009779B">
        <w:t xml:space="preserve"> de regering de kenschets uit het rapport </w:t>
      </w:r>
      <w:r w:rsidRPr="00BE68FC">
        <w:rPr>
          <w:i/>
        </w:rPr>
        <w:t>Verkenning zelfstandigheid gemeente Haren</w:t>
      </w:r>
      <w:r w:rsidRPr="0009779B">
        <w:t xml:space="preserve"> (2016) van het functioneren van de ambtelijke organisatie van de</w:t>
      </w:r>
      <w:r w:rsidR="00BE68FC">
        <w:t>ze</w:t>
      </w:r>
      <w:r w:rsidRPr="0009779B">
        <w:t xml:space="preserve"> gemeente </w:t>
      </w:r>
      <w:r w:rsidR="00675405" w:rsidRPr="0009779B">
        <w:t xml:space="preserve">beoordeelt </w:t>
      </w:r>
      <w:r w:rsidRPr="0009779B">
        <w:t>in het licht van de toenemende opgaven voor gemeenten.</w:t>
      </w:r>
      <w:r w:rsidR="00507458" w:rsidRPr="0009779B">
        <w:t xml:space="preserve"> </w:t>
      </w:r>
      <w:r w:rsidR="00F52577">
        <w:t>Ook de</w:t>
      </w:r>
      <w:r w:rsidR="00F52577" w:rsidRPr="0009779B">
        <w:t xml:space="preserve"> leden van de SGP-fractie vragen de regering de opmerking dat een zelfstandig voortbestaan van de gemeente Haren risicovol is te verduidelijken. </w:t>
      </w:r>
    </w:p>
    <w:p w:rsidR="00F52577" w:rsidRDefault="00F52577" w:rsidP="0009779B"/>
    <w:p w:rsidR="0096096C" w:rsidRPr="005413BF" w:rsidRDefault="006869C9" w:rsidP="0009779B">
      <w:r w:rsidRPr="0009779B">
        <w:t xml:space="preserve">In het </w:t>
      </w:r>
      <w:r>
        <w:t xml:space="preserve">genoemde </w:t>
      </w:r>
      <w:r w:rsidRPr="0009779B">
        <w:t xml:space="preserve">rapport </w:t>
      </w:r>
      <w:r w:rsidRPr="00BE68FC">
        <w:rPr>
          <w:i/>
        </w:rPr>
        <w:t>Verkenning zelfstandigheid gemeente Haren</w:t>
      </w:r>
      <w:r w:rsidR="002B4850">
        <w:rPr>
          <w:rStyle w:val="Voetnootmarkering"/>
          <w:i/>
        </w:rPr>
        <w:footnoteReference w:id="4"/>
      </w:r>
      <w:r w:rsidRPr="0009779B">
        <w:t xml:space="preserve"> van adviesbureau B&amp;A word</w:t>
      </w:r>
      <w:r>
        <w:t>en</w:t>
      </w:r>
      <w:r w:rsidRPr="0009779B">
        <w:t xml:space="preserve"> de actiegerichtheid, betrokkenheid, inzet en ambitie van de ambtelijke organisatie van Haren</w:t>
      </w:r>
      <w:r>
        <w:t xml:space="preserve"> als positieve punten benoemd. Tegelijkertijd wordt</w:t>
      </w:r>
      <w:r w:rsidRPr="0009779B">
        <w:t xml:space="preserve"> </w:t>
      </w:r>
      <w:r>
        <w:t xml:space="preserve">in het rapport </w:t>
      </w:r>
      <w:r w:rsidRPr="0009779B">
        <w:t xml:space="preserve">geconstateerd dat het </w:t>
      </w:r>
      <w:r>
        <w:t xml:space="preserve">de gemeente </w:t>
      </w:r>
      <w:r w:rsidRPr="0009779B">
        <w:t xml:space="preserve">ontbreekt aan een </w:t>
      </w:r>
      <w:r>
        <w:t>strategie en duidelijke lange</w:t>
      </w:r>
      <w:r w:rsidRPr="0009779B">
        <w:t>termijnvisie</w:t>
      </w:r>
      <w:r>
        <w:t xml:space="preserve"> en dat Haren veelal op ad hoc-basis reageert op ontwikkelingen. Ook in andere rapporten, zoals </w:t>
      </w:r>
      <w:r w:rsidR="0002038B">
        <w:t xml:space="preserve">het B&amp;A-rapport </w:t>
      </w:r>
      <w:r w:rsidR="0002038B" w:rsidRPr="00AD3E2D">
        <w:rPr>
          <w:i/>
        </w:rPr>
        <w:t xml:space="preserve">Toetsing Aanpak </w:t>
      </w:r>
      <w:r w:rsidR="0002038B" w:rsidRPr="00AD3E2D">
        <w:rPr>
          <w:i/>
        </w:rPr>
        <w:lastRenderedPageBreak/>
        <w:t>Beterr Haren</w:t>
      </w:r>
      <w:r>
        <w:t xml:space="preserve">, zijn knelpunten </w:t>
      </w:r>
      <w:r w:rsidRPr="0009779B">
        <w:t xml:space="preserve">ten aanzien van de bestuurskracht </w:t>
      </w:r>
      <w:r>
        <w:t xml:space="preserve">van Haren geconstateerd. Die betreffen onder meer de </w:t>
      </w:r>
      <w:r w:rsidR="00F52577" w:rsidRPr="0009779B">
        <w:t xml:space="preserve">beperkte capaciteit en kwetsbaarheid van de ambtelijke organisatie, </w:t>
      </w:r>
      <w:r>
        <w:t xml:space="preserve">de </w:t>
      </w:r>
      <w:r w:rsidR="00F52577" w:rsidRPr="0009779B">
        <w:t xml:space="preserve">afhankelijkheid </w:t>
      </w:r>
      <w:r>
        <w:t xml:space="preserve">van </w:t>
      </w:r>
      <w:r w:rsidR="00F52577" w:rsidRPr="0009779B">
        <w:t xml:space="preserve">samenwerking met </w:t>
      </w:r>
      <w:r>
        <w:t xml:space="preserve">gemeenten die </w:t>
      </w:r>
      <w:r w:rsidR="0002038B">
        <w:t xml:space="preserve">wel voor herindeling kiezen </w:t>
      </w:r>
      <w:r>
        <w:t xml:space="preserve">en </w:t>
      </w:r>
      <w:r w:rsidR="00F52577" w:rsidRPr="0009779B">
        <w:t>de financiële positie van Haren</w:t>
      </w:r>
      <w:r>
        <w:t>, die</w:t>
      </w:r>
      <w:r w:rsidRPr="0009779B">
        <w:t xml:space="preserve"> weinig ruimte biedt voor versterking van de organisatie of de uitvoering van de verbeterpl</w:t>
      </w:r>
      <w:r>
        <w:t xml:space="preserve">annen en het </w:t>
      </w:r>
      <w:r w:rsidRPr="005413BF">
        <w:t xml:space="preserve">ontwikkelen en uitvoeren van nieuw beleid. </w:t>
      </w:r>
      <w:r w:rsidR="0002038B" w:rsidRPr="005413BF">
        <w:t>Deze knelpunten brengen voor een zelfstandig Haren risico’s mee</w:t>
      </w:r>
      <w:r w:rsidR="00F52577" w:rsidRPr="005413BF">
        <w:t xml:space="preserve">, temeer omdat reële alternatieven voor een duurzame versterking van de bestuurskracht van Haren </w:t>
      </w:r>
      <w:r w:rsidRPr="005413BF">
        <w:t>gelet op de ontwikkelingen in de regio</w:t>
      </w:r>
      <w:r w:rsidRPr="005413BF" w:rsidDel="006869C9">
        <w:t xml:space="preserve"> </w:t>
      </w:r>
      <w:r w:rsidR="00F52577" w:rsidRPr="005413BF">
        <w:t>de komende jaren ontbreken.</w:t>
      </w:r>
      <w:r w:rsidRPr="005413BF">
        <w:t xml:space="preserve"> </w:t>
      </w:r>
      <w:r w:rsidR="0002038B" w:rsidRPr="005413BF">
        <w:t xml:space="preserve">Hoewel het huidige bestuur van de gemeente Haren een aantal verbeterplannen heeft ontwikkeld, acht de regering </w:t>
      </w:r>
      <w:r w:rsidR="00283E45" w:rsidRPr="005413BF">
        <w:t xml:space="preserve">het een </w:t>
      </w:r>
      <w:r w:rsidRPr="005413BF">
        <w:t xml:space="preserve">reëel risico dat Haren </w:t>
      </w:r>
      <w:r w:rsidR="00283E45" w:rsidRPr="005413BF">
        <w:t xml:space="preserve">zonder </w:t>
      </w:r>
      <w:r w:rsidRPr="005413BF">
        <w:t xml:space="preserve">herindeling </w:t>
      </w:r>
      <w:r w:rsidR="00AD3E2D" w:rsidRPr="005413BF">
        <w:t>binnen afzienbare termijn terugvalt</w:t>
      </w:r>
      <w:r w:rsidR="00BA43EA" w:rsidRPr="005413BF">
        <w:t xml:space="preserve"> in</w:t>
      </w:r>
      <w:r w:rsidR="00507458" w:rsidRPr="005413BF">
        <w:t xml:space="preserve"> </w:t>
      </w:r>
      <w:r w:rsidR="00BA43EA" w:rsidRPr="005413BF">
        <w:t>ad</w:t>
      </w:r>
      <w:r w:rsidR="00AD3E2D" w:rsidRPr="005413BF">
        <w:t xml:space="preserve"> </w:t>
      </w:r>
      <w:r w:rsidR="00BA43EA" w:rsidRPr="005413BF">
        <w:t>hoc</w:t>
      </w:r>
      <w:r w:rsidR="00AD3E2D" w:rsidRPr="005413BF">
        <w:t>-</w:t>
      </w:r>
      <w:r w:rsidR="00BA43EA" w:rsidRPr="005413BF">
        <w:t xml:space="preserve">oplossingen voor </w:t>
      </w:r>
      <w:r w:rsidR="00DB10AA" w:rsidRPr="005413BF">
        <w:t>opgaven</w:t>
      </w:r>
      <w:r w:rsidR="00BA43EA" w:rsidRPr="005413BF">
        <w:t xml:space="preserve"> die vragen om een lange</w:t>
      </w:r>
      <w:r w:rsidR="00DB10AA" w:rsidRPr="005413BF">
        <w:t>termijnvisie.</w:t>
      </w:r>
      <w:r w:rsidR="00165F09" w:rsidRPr="005413BF">
        <w:t xml:space="preserve"> </w:t>
      </w:r>
    </w:p>
    <w:p w:rsidR="00507458" w:rsidRPr="005413BF" w:rsidRDefault="00507458" w:rsidP="0009779B"/>
    <w:p w:rsidR="001F17AF" w:rsidRDefault="00507458" w:rsidP="0009779B">
      <w:r w:rsidRPr="005413BF">
        <w:t xml:space="preserve">De leden van </w:t>
      </w:r>
      <w:r w:rsidRPr="005046C0">
        <w:rPr>
          <w:b/>
        </w:rPr>
        <w:t>D66</w:t>
      </w:r>
      <w:r w:rsidRPr="005413BF">
        <w:t xml:space="preserve">-fractie vragen of de regering het </w:t>
      </w:r>
      <w:r w:rsidR="001F17AF" w:rsidRPr="005413BF">
        <w:t xml:space="preserve">voor Haren </w:t>
      </w:r>
      <w:r w:rsidRPr="005413BF">
        <w:t>mogelijk acht om een</w:t>
      </w:r>
      <w:r w:rsidRPr="0009779B">
        <w:t xml:space="preserve"> significante beleidswijziging door te voeren waardoor het zelfstandig kan blijven en daarnaast dezelfde faciliteiten en diensten aan haar inwoners kan blijven aanbieden, zonder de lokale belastingen drastisch te verhogen. </w:t>
      </w:r>
      <w:r w:rsidR="001F17AF">
        <w:t xml:space="preserve">Niet alleen de regering, maar </w:t>
      </w:r>
      <w:r w:rsidRPr="0009779B">
        <w:t xml:space="preserve">ook de gemeente Haren zelf </w:t>
      </w:r>
      <w:r w:rsidR="001F17AF">
        <w:t xml:space="preserve">acht dit </w:t>
      </w:r>
      <w:r w:rsidR="00CD5CAE">
        <w:t xml:space="preserve">niet </w:t>
      </w:r>
      <w:r w:rsidR="001F17AF">
        <w:t xml:space="preserve">mogelijk. Het bestuur van de gemeente Haren is zich ervan </w:t>
      </w:r>
      <w:r w:rsidR="00B63FBD" w:rsidRPr="0009779B">
        <w:t xml:space="preserve">bewust dat het niet op de oude voet </w:t>
      </w:r>
      <w:r w:rsidR="0008172C">
        <w:t>door kan gaan</w:t>
      </w:r>
      <w:r w:rsidR="00B63FBD" w:rsidRPr="0009779B">
        <w:t xml:space="preserve">. Dit komt onder meer naar voren in </w:t>
      </w:r>
      <w:r w:rsidR="0008172C">
        <w:t xml:space="preserve">de </w:t>
      </w:r>
      <w:r w:rsidR="0008172C" w:rsidRPr="0008172C">
        <w:rPr>
          <w:i/>
        </w:rPr>
        <w:t>Aanpak</w:t>
      </w:r>
      <w:r w:rsidR="00B63FBD" w:rsidRPr="0009779B">
        <w:t xml:space="preserve"> </w:t>
      </w:r>
      <w:r w:rsidR="00B63FBD" w:rsidRPr="001F17AF">
        <w:rPr>
          <w:i/>
        </w:rPr>
        <w:t>Beterr Haren</w:t>
      </w:r>
      <w:r w:rsidR="0008172C">
        <w:t>, waarin</w:t>
      </w:r>
      <w:r w:rsidR="00B63FBD" w:rsidRPr="0009779B">
        <w:t xml:space="preserve"> </w:t>
      </w:r>
      <w:r w:rsidR="00CD5CAE">
        <w:t xml:space="preserve">de voornemens </w:t>
      </w:r>
      <w:r w:rsidR="0008172C">
        <w:t xml:space="preserve">van Haren zijn opgenomen </w:t>
      </w:r>
      <w:r w:rsidR="00CD5CAE">
        <w:t xml:space="preserve">om </w:t>
      </w:r>
      <w:r w:rsidR="0002038B">
        <w:t xml:space="preserve">via zes deelprojecten </w:t>
      </w:r>
      <w:r w:rsidR="00CD5CAE">
        <w:t>te komen tot versterking van de bestuurskracht en verbetering van de financiële positie.</w:t>
      </w:r>
      <w:r w:rsidR="00E76A92">
        <w:t xml:space="preserve"> In deelrapport 2, </w:t>
      </w:r>
      <w:r w:rsidR="0008172C">
        <w:t>d</w:t>
      </w:r>
      <w:r w:rsidR="00E76A92">
        <w:t>at gaat over de maatregelen die zouden moeten leiden tot een financieel toekomstbestendig Haren</w:t>
      </w:r>
      <w:r w:rsidR="0008172C">
        <w:t>, wordt geconstateerd dat</w:t>
      </w:r>
      <w:r w:rsidR="00E76A92">
        <w:t xml:space="preserve"> </w:t>
      </w:r>
      <w:r w:rsidR="0008172C">
        <w:t xml:space="preserve">van </w:t>
      </w:r>
      <w:r w:rsidR="00E76A92" w:rsidRPr="00E76A92">
        <w:t xml:space="preserve">voortzetting van het bestaande beleid met handhaving van het bestaande voorzieningenniveau geen sprake </w:t>
      </w:r>
      <w:r w:rsidR="0008172C">
        <w:t xml:space="preserve">kan </w:t>
      </w:r>
      <w:r w:rsidR="00E76A92" w:rsidRPr="00E76A92">
        <w:t>zijn.</w:t>
      </w:r>
    </w:p>
    <w:p w:rsidR="001F17AF" w:rsidRDefault="001F17AF" w:rsidP="0009779B"/>
    <w:p w:rsidR="00CF4F9D" w:rsidRPr="00CF4F9D" w:rsidRDefault="00B63FBD" w:rsidP="00CF4F9D">
      <w:pPr>
        <w:rPr>
          <w:i/>
        </w:rPr>
      </w:pPr>
      <w:r w:rsidRPr="0009779B">
        <w:t xml:space="preserve">Voorts </w:t>
      </w:r>
      <w:r w:rsidR="001F17AF">
        <w:t>vragen deze leden naar</w:t>
      </w:r>
      <w:r w:rsidRPr="0009779B">
        <w:t xml:space="preserve"> de verenigbaarheid </w:t>
      </w:r>
      <w:r w:rsidR="001F17AF">
        <w:t xml:space="preserve">van </w:t>
      </w:r>
      <w:r w:rsidRPr="0009779B">
        <w:t xml:space="preserve">het rapport van </w:t>
      </w:r>
      <w:r w:rsidR="001F17AF">
        <w:t>de heer</w:t>
      </w:r>
      <w:r w:rsidRPr="0009779B">
        <w:t xml:space="preserve"> Allers namens het Centrum voor Onderzoek van de Economie van Lagere Overheden (COELO) en de rapporten van B&amp;A en Deloitte. </w:t>
      </w:r>
      <w:r w:rsidR="002B4850">
        <w:t xml:space="preserve">Het rapport </w:t>
      </w:r>
      <w:r w:rsidR="00CF4F9D" w:rsidRPr="00CF4F9D">
        <w:rPr>
          <w:i/>
        </w:rPr>
        <w:t>Financiële positie Haren:</w:t>
      </w:r>
    </w:p>
    <w:p w:rsidR="000A0353" w:rsidRPr="0009779B" w:rsidRDefault="00CF4F9D" w:rsidP="0096665E">
      <w:r w:rsidRPr="00CF4F9D">
        <w:rPr>
          <w:i/>
        </w:rPr>
        <w:t>reden voor herindeling?</w:t>
      </w:r>
      <w:r>
        <w:t xml:space="preserve"> (2016) </w:t>
      </w:r>
      <w:r w:rsidR="0096665E">
        <w:t xml:space="preserve">betreft </w:t>
      </w:r>
      <w:r>
        <w:t xml:space="preserve">de vraag </w:t>
      </w:r>
      <w:r w:rsidR="00A240FE">
        <w:t>in hoe</w:t>
      </w:r>
      <w:r w:rsidR="009503DD">
        <w:t xml:space="preserve">verre financiële overwegingen een goed argument vormen voor de voorgestelde herindeling. </w:t>
      </w:r>
      <w:r w:rsidRPr="00CF4F9D">
        <w:t xml:space="preserve">De </w:t>
      </w:r>
      <w:r>
        <w:t xml:space="preserve">conclusie luidt dat de </w:t>
      </w:r>
      <w:r w:rsidRPr="00CF4F9D">
        <w:t>financiële positie van Haren zwak is</w:t>
      </w:r>
      <w:r>
        <w:t>, maar</w:t>
      </w:r>
      <w:r w:rsidRPr="00CF4F9D">
        <w:t xml:space="preserve"> geen acuut probleem</w:t>
      </w:r>
      <w:r>
        <w:t xml:space="preserve"> vormt</w:t>
      </w:r>
      <w:r w:rsidRPr="00CF4F9D">
        <w:t>.</w:t>
      </w:r>
      <w:r w:rsidR="002B4850">
        <w:t xml:space="preserve"> </w:t>
      </w:r>
      <w:r w:rsidR="0096665E">
        <w:t>H</w:t>
      </w:r>
      <w:r w:rsidR="00C03D69">
        <w:t xml:space="preserve">et rapport </w:t>
      </w:r>
      <w:r>
        <w:rPr>
          <w:i/>
        </w:rPr>
        <w:t>Verkenning zelfstandigheid gemeente Haren</w:t>
      </w:r>
      <w:r w:rsidR="00C03D69">
        <w:t xml:space="preserve"> van </w:t>
      </w:r>
      <w:r w:rsidR="003C5635">
        <w:t>B&amp;A</w:t>
      </w:r>
      <w:r w:rsidR="00C03D69">
        <w:t xml:space="preserve"> </w:t>
      </w:r>
      <w:r>
        <w:t xml:space="preserve">(maart 2016) </w:t>
      </w:r>
      <w:r w:rsidR="0096665E">
        <w:t xml:space="preserve">kent een bredere reikwijdte: de centrale vraagstelling </w:t>
      </w:r>
      <w:r w:rsidR="00206FE8">
        <w:t>is</w:t>
      </w:r>
      <w:r w:rsidR="00C03D69">
        <w:t xml:space="preserve"> of Haren zelfstandig een robuuste en bestuurskrachtige toekomst heeft in regionaal perspectief</w:t>
      </w:r>
      <w:r w:rsidR="003C5635">
        <w:t>.</w:t>
      </w:r>
      <w:r>
        <w:t xml:space="preserve"> </w:t>
      </w:r>
      <w:r w:rsidR="00206FE8">
        <w:t xml:space="preserve">De conclusie </w:t>
      </w:r>
      <w:r w:rsidR="00DD18E3">
        <w:t xml:space="preserve">is </w:t>
      </w:r>
      <w:r w:rsidR="00206FE8">
        <w:t xml:space="preserve">dat zelfstandigheid </w:t>
      </w:r>
      <w:r w:rsidR="006A0EAE">
        <w:t>voor</w:t>
      </w:r>
      <w:r w:rsidR="00206FE8">
        <w:t xml:space="preserve"> Haren de nodige </w:t>
      </w:r>
      <w:r w:rsidR="005E08C7">
        <w:t xml:space="preserve">maatschappelijke en financiële </w:t>
      </w:r>
      <w:r w:rsidR="00206FE8">
        <w:t>risico’s meebrengt, onder meer vanwege de beperkte financiële spankracht van de gemeente en de onzekere mogelijkheden om deze spankracht te vergroten</w:t>
      </w:r>
      <w:r>
        <w:t>.</w:t>
      </w:r>
      <w:r w:rsidR="003C5635">
        <w:t xml:space="preserve"> </w:t>
      </w:r>
      <w:r w:rsidR="00DD18E3">
        <w:t xml:space="preserve">Ook de </w:t>
      </w:r>
      <w:r w:rsidR="002B4850">
        <w:t>rapport</w:t>
      </w:r>
      <w:r w:rsidR="005E08C7">
        <w:t>en</w:t>
      </w:r>
      <w:r w:rsidR="009503DD">
        <w:t xml:space="preserve"> </w:t>
      </w:r>
      <w:r w:rsidR="005E08C7" w:rsidRPr="005E08C7">
        <w:rPr>
          <w:i/>
        </w:rPr>
        <w:t>Financiële stresstest Gemeente Haren</w:t>
      </w:r>
      <w:r w:rsidR="005E08C7" w:rsidRPr="005E08C7">
        <w:t xml:space="preserve"> </w:t>
      </w:r>
      <w:r w:rsidR="005E08C7">
        <w:t xml:space="preserve">en </w:t>
      </w:r>
      <w:r w:rsidR="005E08C7" w:rsidRPr="005E08C7">
        <w:rPr>
          <w:i/>
        </w:rPr>
        <w:t>Financieel onderzoek gemeente Haren</w:t>
      </w:r>
      <w:r w:rsidR="005E08C7" w:rsidRPr="005E08C7">
        <w:t xml:space="preserve"> </w:t>
      </w:r>
      <w:r w:rsidR="009503DD">
        <w:t xml:space="preserve">van Deloitte </w:t>
      </w:r>
      <w:r w:rsidR="005E08C7">
        <w:t xml:space="preserve">(juni 2016) </w:t>
      </w:r>
      <w:r w:rsidR="00DD18E3">
        <w:t>laten zien</w:t>
      </w:r>
      <w:r w:rsidR="0096665E">
        <w:t xml:space="preserve"> dat de financiële spankracht van de gemeente beperkt is en dat </w:t>
      </w:r>
      <w:r w:rsidR="00DD18E3">
        <w:t>de financiële positie van Haren ‘</w:t>
      </w:r>
      <w:r w:rsidR="00DD18E3" w:rsidRPr="00DD18E3">
        <w:t>zich op het randje</w:t>
      </w:r>
      <w:r w:rsidR="00DD18E3">
        <w:t xml:space="preserve"> beweegt’</w:t>
      </w:r>
      <w:r w:rsidR="0096665E">
        <w:t xml:space="preserve">. </w:t>
      </w:r>
      <w:r w:rsidR="00DD18E3">
        <w:t>G</w:t>
      </w:r>
      <w:r w:rsidR="0096665E">
        <w:t>ezamenlijk geven d</w:t>
      </w:r>
      <w:r w:rsidR="005E08C7">
        <w:t>e</w:t>
      </w:r>
      <w:r w:rsidR="0096665E">
        <w:t xml:space="preserve"> rapporten </w:t>
      </w:r>
      <w:r w:rsidR="007E649A">
        <w:t xml:space="preserve">een adequaat beeld van de situatie </w:t>
      </w:r>
      <w:r w:rsidR="00DD18E3">
        <w:t xml:space="preserve">van </w:t>
      </w:r>
      <w:r w:rsidR="007E649A">
        <w:t>Haren</w:t>
      </w:r>
      <w:r w:rsidR="00C03D69">
        <w:t>:</w:t>
      </w:r>
      <w:r w:rsidR="007E649A">
        <w:t xml:space="preserve"> een gemeente met een financieel zwakke positie die hard werkt aan een sluitende begroting</w:t>
      </w:r>
      <w:r w:rsidR="00C03D69">
        <w:t>,</w:t>
      </w:r>
      <w:r w:rsidR="007E649A">
        <w:t xml:space="preserve"> maar </w:t>
      </w:r>
      <w:r w:rsidR="00C03D69">
        <w:t xml:space="preserve">daartoe op termijn </w:t>
      </w:r>
      <w:r>
        <w:t xml:space="preserve">naar verwachting </w:t>
      </w:r>
      <w:r w:rsidR="00C03D69">
        <w:t>niet zelfstandig in staat zal zijn</w:t>
      </w:r>
      <w:r>
        <w:t xml:space="preserve">, terwijl de mogelijkheden om de bestuurskracht van Haren </w:t>
      </w:r>
      <w:r w:rsidR="00DD18E3">
        <w:t xml:space="preserve">op andere wijze </w:t>
      </w:r>
      <w:r w:rsidR="0096665E">
        <w:t xml:space="preserve">te versterken </w:t>
      </w:r>
      <w:r>
        <w:t xml:space="preserve">beperkt </w:t>
      </w:r>
      <w:r w:rsidR="00DD18E3">
        <w:t xml:space="preserve">(zullen) </w:t>
      </w:r>
      <w:r>
        <w:t>zijn</w:t>
      </w:r>
      <w:r w:rsidR="00994324">
        <w:t>.</w:t>
      </w:r>
      <w:r w:rsidR="00DD18E3">
        <w:rPr>
          <w:rStyle w:val="Voetnootmarkering"/>
        </w:rPr>
        <w:footnoteReference w:id="5"/>
      </w:r>
      <w:r w:rsidR="00994324">
        <w:t xml:space="preserve"> </w:t>
      </w:r>
      <w:r w:rsidR="0008172C">
        <w:t xml:space="preserve">Zie over </w:t>
      </w:r>
      <w:r w:rsidR="00994324">
        <w:t xml:space="preserve">de financiële situatie van </w:t>
      </w:r>
      <w:r w:rsidR="0008172C">
        <w:t xml:space="preserve">Haren </w:t>
      </w:r>
      <w:r>
        <w:t>ook</w:t>
      </w:r>
      <w:r w:rsidR="00C03D69">
        <w:t xml:space="preserve"> </w:t>
      </w:r>
      <w:r w:rsidR="00994324">
        <w:t>§</w:t>
      </w:r>
      <w:r w:rsidR="0008172C">
        <w:t> </w:t>
      </w:r>
      <w:r w:rsidR="00994324">
        <w:t xml:space="preserve">4 </w:t>
      </w:r>
      <w:r w:rsidR="0008172C">
        <w:t>van deze nota.</w:t>
      </w:r>
    </w:p>
    <w:p w:rsidR="000A0353" w:rsidRPr="0009779B" w:rsidRDefault="000A0353" w:rsidP="0009779B"/>
    <w:p w:rsidR="00E60315" w:rsidRPr="0009779B" w:rsidRDefault="000A0353" w:rsidP="0009779B">
      <w:r w:rsidRPr="0009779B">
        <w:t xml:space="preserve">De leden van de </w:t>
      </w:r>
      <w:r w:rsidRPr="005046C0">
        <w:rPr>
          <w:b/>
        </w:rPr>
        <w:t>GroenLinks</w:t>
      </w:r>
      <w:r w:rsidRPr="0009779B">
        <w:t>-fractie vragen de regering nader uiteen te zetten hoe de inwoners</w:t>
      </w:r>
      <w:r w:rsidR="002F5C1B">
        <w:t>,</w:t>
      </w:r>
      <w:r w:rsidRPr="0009779B">
        <w:t xml:space="preserve"> maatschappelijke organisaties en de lokale politiek van de betreffende gemeenten betrokken </w:t>
      </w:r>
      <w:r w:rsidR="00493167">
        <w:t>zijn</w:t>
      </w:r>
      <w:r w:rsidRPr="0009779B">
        <w:t xml:space="preserve"> geweest bij de totstandkoming van het </w:t>
      </w:r>
      <w:r w:rsidR="00493167">
        <w:t>herindelings</w:t>
      </w:r>
      <w:r w:rsidRPr="0009779B">
        <w:t>voorstel.</w:t>
      </w:r>
      <w:r w:rsidR="00BB0D62">
        <w:t xml:space="preserve"> </w:t>
      </w:r>
      <w:r w:rsidR="006F17D8">
        <w:t xml:space="preserve">De provincie </w:t>
      </w:r>
      <w:r w:rsidR="005B2BED">
        <w:t xml:space="preserve">Groningen </w:t>
      </w:r>
      <w:r w:rsidR="006F17D8">
        <w:t xml:space="preserve">heeft het </w:t>
      </w:r>
      <w:r w:rsidR="00BB0D62" w:rsidRPr="00BB0D62">
        <w:t xml:space="preserve">betrekken van </w:t>
      </w:r>
      <w:r w:rsidR="00B902A8">
        <w:t xml:space="preserve">de </w:t>
      </w:r>
      <w:r w:rsidR="005B2BED">
        <w:t>inwoners en maatschappelijke organisaties</w:t>
      </w:r>
      <w:r w:rsidR="006F17D8">
        <w:t xml:space="preserve"> </w:t>
      </w:r>
      <w:r w:rsidR="00BB0D62" w:rsidRPr="00BB0D62">
        <w:t xml:space="preserve">en het investeren in draagvlak voor de herindeling beschouwd als een gezamenlijke verantwoordelijkheid van </w:t>
      </w:r>
      <w:r w:rsidR="006F17D8">
        <w:t xml:space="preserve">de </w:t>
      </w:r>
      <w:r w:rsidR="00BB0D62" w:rsidRPr="00BB0D62">
        <w:t>drie gemeenten</w:t>
      </w:r>
      <w:r w:rsidR="005B2BED">
        <w:t xml:space="preserve"> en </w:t>
      </w:r>
      <w:r w:rsidR="005B2BED" w:rsidRPr="00BB0D62">
        <w:t xml:space="preserve">de </w:t>
      </w:r>
      <w:r w:rsidR="005B2BED">
        <w:t>provincie</w:t>
      </w:r>
      <w:r w:rsidR="00BB0D62" w:rsidRPr="00BB0D62">
        <w:t>.</w:t>
      </w:r>
      <w:r w:rsidR="005B2BED">
        <w:t xml:space="preserve"> </w:t>
      </w:r>
      <w:r w:rsidR="005B2BED" w:rsidRPr="00C96296">
        <w:t>Vanaf het moment dat de contouren van de herindeling zichtbaar werden, is een uitgebreid traject van informatievoorziening en inspraak gestart</w:t>
      </w:r>
      <w:r w:rsidR="005B2BED">
        <w:t xml:space="preserve"> </w:t>
      </w:r>
      <w:r w:rsidR="00BB0D62">
        <w:t xml:space="preserve">(zie </w:t>
      </w:r>
      <w:r w:rsidR="005B2BED">
        <w:t xml:space="preserve">ook </w:t>
      </w:r>
      <w:r w:rsidR="00BB0D62">
        <w:t>§ </w:t>
      </w:r>
      <w:r w:rsidR="00BB0D62" w:rsidRPr="00BB0D62">
        <w:t>3.1.2</w:t>
      </w:r>
      <w:r w:rsidR="00BB0D62">
        <w:t xml:space="preserve"> van de memorie van toelichting). </w:t>
      </w:r>
      <w:r w:rsidR="00B902A8">
        <w:t xml:space="preserve">Zo </w:t>
      </w:r>
      <w:r w:rsidR="007F44F2">
        <w:t xml:space="preserve">heeft de provincie in de drie gemeenten meerdere </w:t>
      </w:r>
      <w:r w:rsidR="00B902A8">
        <w:t xml:space="preserve">bijeenkomsten </w:t>
      </w:r>
      <w:r w:rsidR="007F44F2">
        <w:lastRenderedPageBreak/>
        <w:t xml:space="preserve">voor burgers, maatschappelijke organisaties en het bedrijfsleven georganiseerd </w:t>
      </w:r>
      <w:r w:rsidR="00B902A8">
        <w:t>en</w:t>
      </w:r>
      <w:r w:rsidR="007F44F2">
        <w:t xml:space="preserve"> hen op verschillende manieren in staat gesteld om </w:t>
      </w:r>
      <w:r w:rsidR="00B902A8">
        <w:t>op het herindelingsontwerp te reageren</w:t>
      </w:r>
      <w:r w:rsidR="007F44F2">
        <w:t xml:space="preserve">, </w:t>
      </w:r>
      <w:r w:rsidR="007F44F2" w:rsidRPr="00C96296">
        <w:t>waaronder via een online formulier, per brief en mondeling tijdens de bijeenkomsten</w:t>
      </w:r>
      <w:r w:rsidR="00B902A8">
        <w:t xml:space="preserve">. </w:t>
      </w:r>
      <w:r w:rsidR="00B23D7A">
        <w:t>Een</w:t>
      </w:r>
      <w:r w:rsidR="00671382">
        <w:t xml:space="preserve"> </w:t>
      </w:r>
      <w:r w:rsidR="00B23D7A">
        <w:t>gedetailleerde beschrijving</w:t>
      </w:r>
      <w:r w:rsidR="00671382">
        <w:t xml:space="preserve"> van d</w:t>
      </w:r>
      <w:r w:rsidR="00493167">
        <w:t xml:space="preserve">e </w:t>
      </w:r>
      <w:r w:rsidR="005B2BED">
        <w:t xml:space="preserve">activiteiten die </w:t>
      </w:r>
      <w:r w:rsidR="00B902A8">
        <w:t xml:space="preserve">zijn </w:t>
      </w:r>
      <w:r w:rsidR="005B2BED" w:rsidRPr="0009779B">
        <w:t xml:space="preserve">ondernomen om het maatschappelijk draagvlak te peilen </w:t>
      </w:r>
      <w:r w:rsidR="005B2BED">
        <w:t>en</w:t>
      </w:r>
      <w:r w:rsidR="005B2BED" w:rsidRPr="0009779B">
        <w:t xml:space="preserve"> te stimuleren</w:t>
      </w:r>
      <w:r w:rsidR="005B2BED">
        <w:t xml:space="preserve"> </w:t>
      </w:r>
      <w:r w:rsidR="00493167">
        <w:t xml:space="preserve">is </w:t>
      </w:r>
      <w:r w:rsidR="00671382">
        <w:t>opgenomen</w:t>
      </w:r>
      <w:r w:rsidR="00493167">
        <w:t xml:space="preserve"> in</w:t>
      </w:r>
      <w:r w:rsidRPr="0009779B">
        <w:t xml:space="preserve"> </w:t>
      </w:r>
      <w:r w:rsidR="00B902A8">
        <w:t>bijlage IV bij het herindelingsadvies (logboeken maatschappelijk draagvlak)</w:t>
      </w:r>
      <w:r w:rsidR="00493167">
        <w:t xml:space="preserve">. </w:t>
      </w:r>
    </w:p>
    <w:p w:rsidR="00E60315" w:rsidRPr="0009779B" w:rsidRDefault="00E60315" w:rsidP="0009779B"/>
    <w:p w:rsidR="00606FF8" w:rsidRPr="0009779B" w:rsidRDefault="00E60315" w:rsidP="0009779B">
      <w:r w:rsidRPr="0009779B">
        <w:t>De leden van</w:t>
      </w:r>
      <w:r w:rsidR="00493167">
        <w:t xml:space="preserve"> de </w:t>
      </w:r>
      <w:r w:rsidR="00493167" w:rsidRPr="005046C0">
        <w:rPr>
          <w:b/>
        </w:rPr>
        <w:t>SP</w:t>
      </w:r>
      <w:r w:rsidR="00493167">
        <w:t>-fractie vragen waarom er wordt gekozen voor een herindeling</w:t>
      </w:r>
      <w:r w:rsidRPr="0009779B">
        <w:t xml:space="preserve"> </w:t>
      </w:r>
      <w:r w:rsidR="00493167">
        <w:t xml:space="preserve">van Haren met Groningen en Ten Boer </w:t>
      </w:r>
      <w:r w:rsidRPr="0009779B">
        <w:t>ondanks een burgerraadpleging waarin 74,45%</w:t>
      </w:r>
      <w:r w:rsidR="00B63FBD" w:rsidRPr="0009779B">
        <w:t xml:space="preserve"> </w:t>
      </w:r>
      <w:r w:rsidRPr="0009779B">
        <w:t xml:space="preserve">van de inwoners van de gemeente Haren zich </w:t>
      </w:r>
      <w:r w:rsidR="00493167">
        <w:t>tegen deze variant heeft uitgesproken</w:t>
      </w:r>
      <w:r w:rsidRPr="0009779B">
        <w:t xml:space="preserve">. </w:t>
      </w:r>
      <w:r w:rsidR="00493167">
        <w:t>Het lijkt</w:t>
      </w:r>
      <w:r w:rsidR="00C1449A">
        <w:t xml:space="preserve"> volgens deze leden </w:t>
      </w:r>
      <w:r w:rsidRPr="0009779B">
        <w:t xml:space="preserve">alsof de uitdagingen waar kleinere gemeenten voor staan leiden tot </w:t>
      </w:r>
      <w:r w:rsidR="00493167">
        <w:t xml:space="preserve">gedwongen </w:t>
      </w:r>
      <w:r w:rsidRPr="0009779B">
        <w:t xml:space="preserve">herindeling. De regering </w:t>
      </w:r>
      <w:r w:rsidR="00493167">
        <w:t xml:space="preserve">benadrukt </w:t>
      </w:r>
      <w:r w:rsidRPr="0009779B">
        <w:t xml:space="preserve">dat de </w:t>
      </w:r>
      <w:r w:rsidR="00493167">
        <w:t xml:space="preserve">omvang </w:t>
      </w:r>
      <w:r w:rsidRPr="0009779B">
        <w:t xml:space="preserve">van een gemeente niet leidend is bij de vraag of </w:t>
      </w:r>
      <w:r w:rsidR="00493167">
        <w:t xml:space="preserve">een </w:t>
      </w:r>
      <w:r w:rsidRPr="0009779B">
        <w:t xml:space="preserve">herindeling </w:t>
      </w:r>
      <w:r w:rsidR="00493167">
        <w:t xml:space="preserve">noodzakelijk </w:t>
      </w:r>
      <w:r w:rsidRPr="0009779B">
        <w:t xml:space="preserve">is. </w:t>
      </w:r>
      <w:r w:rsidR="00857144">
        <w:t>Zie daarover ook het antwoord op de vraag van de leden van de SGP-fractie naar het criterium schaalniveau</w:t>
      </w:r>
      <w:r w:rsidR="00BA7F4A">
        <w:t xml:space="preserve"> in het vervolg van deze paragraaf</w:t>
      </w:r>
      <w:r w:rsidR="00857144">
        <w:t xml:space="preserve">. </w:t>
      </w:r>
      <w:r w:rsidR="003C5635">
        <w:t xml:space="preserve">Hoewel het </w:t>
      </w:r>
      <w:r w:rsidR="00380E93" w:rsidRPr="0009779B">
        <w:t xml:space="preserve">draagvlak </w:t>
      </w:r>
      <w:r w:rsidR="003C5635">
        <w:t xml:space="preserve">voor een herindeling onder </w:t>
      </w:r>
      <w:r w:rsidR="00380E93" w:rsidRPr="0009779B">
        <w:t xml:space="preserve">burgers en maatschappelijke organisaties </w:t>
      </w:r>
      <w:r w:rsidR="00BA7F4A">
        <w:t xml:space="preserve">vanzelfsprekend </w:t>
      </w:r>
      <w:r w:rsidR="00380E93" w:rsidRPr="0009779B">
        <w:t xml:space="preserve">van </w:t>
      </w:r>
      <w:r w:rsidR="003C5635">
        <w:t xml:space="preserve">groot </w:t>
      </w:r>
      <w:r w:rsidR="00380E93" w:rsidRPr="0009779B">
        <w:t xml:space="preserve">belang </w:t>
      </w:r>
      <w:r w:rsidR="003C5635">
        <w:t xml:space="preserve">is, kan dit niet altijd </w:t>
      </w:r>
      <w:r w:rsidR="00BA7F4A">
        <w:t>doorslaggevend</w:t>
      </w:r>
      <w:r w:rsidR="00380E93" w:rsidRPr="0009779B">
        <w:t xml:space="preserve"> zijn.</w:t>
      </w:r>
      <w:r w:rsidR="00E41E1F">
        <w:t xml:space="preserve"> Daarop wordt nader ingegaan in </w:t>
      </w:r>
      <w:r w:rsidR="00BA7F4A">
        <w:t xml:space="preserve">§ 3 </w:t>
      </w:r>
      <w:r w:rsidR="00E41E1F">
        <w:t>van deze nota.</w:t>
      </w:r>
    </w:p>
    <w:p w:rsidR="00606FF8" w:rsidRPr="0009779B" w:rsidRDefault="00606FF8" w:rsidP="0009779B"/>
    <w:p w:rsidR="00BA18ED" w:rsidRPr="005413BF" w:rsidRDefault="00515E14" w:rsidP="0009779B">
      <w:pPr>
        <w:rPr>
          <w:b/>
        </w:rPr>
      </w:pPr>
      <w:r w:rsidRPr="0009779B">
        <w:t xml:space="preserve">De leden van de </w:t>
      </w:r>
      <w:r w:rsidRPr="005046C0">
        <w:rPr>
          <w:b/>
        </w:rPr>
        <w:t>SGP</w:t>
      </w:r>
      <w:r w:rsidRPr="0009779B">
        <w:t xml:space="preserve">-fractie vragen </w:t>
      </w:r>
      <w:r w:rsidR="0062724B">
        <w:t xml:space="preserve">naar </w:t>
      </w:r>
      <w:r w:rsidRPr="0009779B">
        <w:t xml:space="preserve">het voornemen van de provincie Groningen om geen herindelingen van bovenaf te </w:t>
      </w:r>
      <w:r w:rsidR="00BA7F4A">
        <w:t>initiëren</w:t>
      </w:r>
      <w:r w:rsidRPr="0009779B">
        <w:t xml:space="preserve">. </w:t>
      </w:r>
      <w:r w:rsidR="00D44A40" w:rsidRPr="0009779B">
        <w:t xml:space="preserve">In het collegeprogramma 2015-2019 van </w:t>
      </w:r>
      <w:r w:rsidR="00D44A40">
        <w:t>het provinciebestuur</w:t>
      </w:r>
      <w:r w:rsidR="00D44A40" w:rsidRPr="0009779B">
        <w:t xml:space="preserve"> </w:t>
      </w:r>
      <w:r w:rsidR="00D44A40">
        <w:t xml:space="preserve">is als uitgangspunt opgenomen dat herindelingen niet worden opgelegd, maar dat de provincie initiatieven die gemeenten zelf aandragen stimuleert en ondersteunt. </w:t>
      </w:r>
      <w:r w:rsidR="00BA18ED" w:rsidRPr="0009779B">
        <w:t xml:space="preserve">De provincie heeft vanuit </w:t>
      </w:r>
      <w:r w:rsidR="00D44A40">
        <w:t xml:space="preserve">deze </w:t>
      </w:r>
      <w:r w:rsidR="00BA18ED" w:rsidRPr="0009779B">
        <w:t xml:space="preserve">rolopvatting </w:t>
      </w:r>
      <w:r w:rsidR="00C1449A" w:rsidRPr="0009779B">
        <w:t xml:space="preserve">altijd </w:t>
      </w:r>
      <w:r w:rsidR="00BA18ED" w:rsidRPr="0009779B">
        <w:t xml:space="preserve">benadrukt dat </w:t>
      </w:r>
      <w:r w:rsidR="00D44A40">
        <w:t xml:space="preserve">het </w:t>
      </w:r>
      <w:r w:rsidR="00BA18ED" w:rsidRPr="0009779B">
        <w:t xml:space="preserve">in eerste instantie </w:t>
      </w:r>
      <w:r w:rsidR="00D44A40">
        <w:t xml:space="preserve">aan gemeenten </w:t>
      </w:r>
      <w:r w:rsidR="00BA18ED" w:rsidRPr="0009779B">
        <w:t xml:space="preserve">zelf </w:t>
      </w:r>
      <w:r w:rsidR="00D44A40">
        <w:t xml:space="preserve">is om </w:t>
      </w:r>
      <w:r w:rsidR="00BA18ED" w:rsidRPr="0009779B">
        <w:t xml:space="preserve">een oplossing te vinden voor </w:t>
      </w:r>
      <w:r w:rsidR="00D44A40">
        <w:t xml:space="preserve">de noodzaak tot </w:t>
      </w:r>
      <w:r w:rsidR="00BA18ED" w:rsidRPr="0009779B">
        <w:t xml:space="preserve">bestuurskrachtversterking. Dit neemt niet weg dat de provincie een eigen </w:t>
      </w:r>
      <w:r w:rsidR="00BA18ED" w:rsidRPr="005413BF">
        <w:t>verantwoordelijkheid heeft voor de kwaliteit van het lokaal bestuur en</w:t>
      </w:r>
      <w:r w:rsidR="00C1449A" w:rsidRPr="005413BF">
        <w:t xml:space="preserve"> op grond van de Wet arhi</w:t>
      </w:r>
      <w:r w:rsidR="00BA18ED" w:rsidRPr="005413BF">
        <w:t xml:space="preserve"> </w:t>
      </w:r>
      <w:r w:rsidR="00C1449A" w:rsidRPr="005413BF">
        <w:t xml:space="preserve">de procedure </w:t>
      </w:r>
      <w:r w:rsidR="00BA18ED" w:rsidRPr="005413BF">
        <w:t>van gemeenten kan overnemen.</w:t>
      </w:r>
      <w:r w:rsidR="00BA7F4A" w:rsidRPr="005413BF">
        <w:t xml:space="preserve"> Zoals hiervoor en in § 2.2 van de memorie van toelichting is toegelicht, heeft de provincie het initiatief tot een open overleg genomen omdat Haren zelf niet langer bereid was met de gemeenten Groningen en Ten Boer in overleg te treden.</w:t>
      </w:r>
    </w:p>
    <w:p w:rsidR="00BA18ED" w:rsidRPr="005413BF" w:rsidRDefault="00BA18ED" w:rsidP="0009779B"/>
    <w:p w:rsidR="00BA18ED" w:rsidRPr="0009779B" w:rsidRDefault="00E27C9B" w:rsidP="0009779B">
      <w:r w:rsidRPr="005413BF">
        <w:t>Dezelfde</w:t>
      </w:r>
      <w:r w:rsidR="00BA18ED" w:rsidRPr="005413BF">
        <w:t xml:space="preserve"> leden vragen of bij </w:t>
      </w:r>
      <w:r w:rsidR="00DF1F2C" w:rsidRPr="005413BF">
        <w:t>de</w:t>
      </w:r>
      <w:r w:rsidR="00C1449A" w:rsidRPr="005413BF">
        <w:t>ze</w:t>
      </w:r>
      <w:r w:rsidR="00DF1F2C" w:rsidRPr="005413BF">
        <w:t xml:space="preserve"> </w:t>
      </w:r>
      <w:r w:rsidR="00BA18ED" w:rsidRPr="005413BF">
        <w:t>herindeling geen sprake is van een vergelijkbare situ</w:t>
      </w:r>
      <w:r w:rsidR="00BF1A3F" w:rsidRPr="005413BF">
        <w:t>a</w:t>
      </w:r>
      <w:r w:rsidR="00BA18ED" w:rsidRPr="005413BF">
        <w:t xml:space="preserve">tie als bij Heerlen en Landgraaf, waarbij de procedure problematisch is verlopen. </w:t>
      </w:r>
      <w:r w:rsidR="00DF1F2C" w:rsidRPr="005413BF">
        <w:t>Ik</w:t>
      </w:r>
      <w:r w:rsidR="00BA18ED" w:rsidRPr="005413BF">
        <w:t xml:space="preserve"> hecht eraan te </w:t>
      </w:r>
      <w:r w:rsidR="00DF1F2C" w:rsidRPr="005413BF">
        <w:t xml:space="preserve">benadrukken </w:t>
      </w:r>
      <w:r w:rsidR="00BA18ED" w:rsidRPr="005413BF">
        <w:t xml:space="preserve">dat de situatie bij </w:t>
      </w:r>
      <w:r w:rsidR="00C1449A" w:rsidRPr="005413BF">
        <w:t xml:space="preserve">de gemeenten </w:t>
      </w:r>
      <w:r w:rsidR="00BA18ED" w:rsidRPr="005413BF">
        <w:t>Heerlen</w:t>
      </w:r>
      <w:r w:rsidR="00C1449A" w:rsidRPr="005413BF">
        <w:t xml:space="preserve"> en </w:t>
      </w:r>
      <w:r w:rsidR="00BA18ED" w:rsidRPr="005413BF">
        <w:t>Landgraaf</w:t>
      </w:r>
      <w:r w:rsidR="00BA18ED" w:rsidRPr="0009779B">
        <w:t xml:space="preserve"> </w:t>
      </w:r>
      <w:r w:rsidR="006C5880">
        <w:t xml:space="preserve">geheel </w:t>
      </w:r>
      <w:r w:rsidR="00C1449A">
        <w:t>op zichzelf staat</w:t>
      </w:r>
      <w:r w:rsidR="00D44A40">
        <w:t xml:space="preserve">. </w:t>
      </w:r>
      <w:r>
        <w:t>Zoals</w:t>
      </w:r>
      <w:r w:rsidR="004762A9">
        <w:t xml:space="preserve"> ik heb</w:t>
      </w:r>
      <w:r>
        <w:t xml:space="preserve"> toegelicht in </w:t>
      </w:r>
      <w:r w:rsidRPr="00F52577">
        <w:t>mijn brief van 8 december 2017 aan uw Kamer</w:t>
      </w:r>
      <w:r>
        <w:t xml:space="preserve"> en het nader rapport bij het voorbereide wetsvoorstel inzake herindeling van Heerlen en Landgraaf, is in </w:t>
      </w:r>
      <w:r w:rsidR="006C5880">
        <w:t xml:space="preserve">die </w:t>
      </w:r>
      <w:r w:rsidR="006C5880" w:rsidRPr="006C5880">
        <w:t>specifieke procedure de zorgvuldigheid van het herindelingsproces in het geding gekomen</w:t>
      </w:r>
      <w:r>
        <w:t>.</w:t>
      </w:r>
      <w:r>
        <w:rPr>
          <w:rStyle w:val="Voetnootmarkering"/>
        </w:rPr>
        <w:footnoteReference w:id="6"/>
      </w:r>
      <w:r w:rsidR="006C5880">
        <w:t xml:space="preserve"> </w:t>
      </w:r>
      <w:r w:rsidR="007F44F2">
        <w:t xml:space="preserve">Daarom heeft de regering afgezien van indiening van het </w:t>
      </w:r>
      <w:r w:rsidR="004762A9">
        <w:t xml:space="preserve">voorbereide </w:t>
      </w:r>
      <w:r>
        <w:t>wetsvoorstel</w:t>
      </w:r>
      <w:r w:rsidR="006C5880">
        <w:t xml:space="preserve">. </w:t>
      </w:r>
      <w:r w:rsidR="00D44A40">
        <w:t>Van de</w:t>
      </w:r>
      <w:r w:rsidR="003C5635">
        <w:t>r</w:t>
      </w:r>
      <w:r w:rsidR="00D44A40">
        <w:t>gelijke procedurele gebreken is in de onderhavige procedure geen sprake geweest.</w:t>
      </w:r>
    </w:p>
    <w:p w:rsidR="00DC43BD" w:rsidRPr="0009779B" w:rsidRDefault="00DC43BD" w:rsidP="0009779B"/>
    <w:p w:rsidR="002D4546" w:rsidRPr="0009779B" w:rsidRDefault="002D4546" w:rsidP="0009779B">
      <w:r w:rsidRPr="0009779B">
        <w:t>De leden van de SGP</w:t>
      </w:r>
      <w:r w:rsidR="0087686C" w:rsidRPr="0009779B">
        <w:t>-fractie</w:t>
      </w:r>
      <w:r w:rsidRPr="0009779B">
        <w:t xml:space="preserve"> vragen </w:t>
      </w:r>
      <w:r w:rsidR="005046C0">
        <w:t xml:space="preserve">voorts </w:t>
      </w:r>
      <w:r w:rsidRPr="0009779B">
        <w:t xml:space="preserve">of het behoud van het eigen karakter en de eigen identiteit van de gemeente Ten Boer </w:t>
      </w:r>
      <w:r w:rsidR="00F52577" w:rsidRPr="0009779B">
        <w:t xml:space="preserve">bij de vorming van de nieuwe gemeente </w:t>
      </w:r>
      <w:r w:rsidR="00F52577">
        <w:t>v</w:t>
      </w:r>
      <w:r w:rsidRPr="0009779B">
        <w:t xml:space="preserve">oldoende gewaarborgd is. De regering </w:t>
      </w:r>
      <w:r w:rsidR="00F52577">
        <w:t xml:space="preserve">vertrouwt erop </w:t>
      </w:r>
      <w:r w:rsidRPr="0009779B">
        <w:t xml:space="preserve">dat </w:t>
      </w:r>
      <w:r w:rsidR="006C5880">
        <w:t>het eigen karakter en de eigen identiteit van Ten Boer</w:t>
      </w:r>
      <w:r w:rsidR="00731DCF">
        <w:t xml:space="preserve"> </w:t>
      </w:r>
      <w:r w:rsidRPr="0009779B">
        <w:t xml:space="preserve">met de afspraken uit de bestuursovereenkomst ten aanzien van </w:t>
      </w:r>
      <w:r w:rsidR="0087686C" w:rsidRPr="0009779B">
        <w:t xml:space="preserve">de dorpen, kernen en buitengebieden voldoende gewaarborgd </w:t>
      </w:r>
      <w:r w:rsidR="004762A9">
        <w:t>zijn</w:t>
      </w:r>
      <w:r w:rsidR="0087686C" w:rsidRPr="0009779B">
        <w:t xml:space="preserve">. </w:t>
      </w:r>
      <w:r w:rsidR="006C5880">
        <w:t>Blijkens</w:t>
      </w:r>
      <w:r w:rsidR="0087686C" w:rsidRPr="0009779B">
        <w:t xml:space="preserve"> paragraaf 2 van d</w:t>
      </w:r>
      <w:r w:rsidR="006C5880">
        <w:t>i</w:t>
      </w:r>
      <w:r w:rsidR="0087686C" w:rsidRPr="0009779B">
        <w:t xml:space="preserve">e bestuursovereenkomst </w:t>
      </w:r>
      <w:r w:rsidR="004762A9">
        <w:t xml:space="preserve">wordt erop ingezet </w:t>
      </w:r>
      <w:r w:rsidR="0087686C" w:rsidRPr="0009779B">
        <w:t xml:space="preserve">het behoud van de specifieke identiteit van dorpen en kernen </w:t>
      </w:r>
      <w:r w:rsidR="004762A9">
        <w:t xml:space="preserve">in de nieuwe gemeente </w:t>
      </w:r>
      <w:r w:rsidR="0087686C" w:rsidRPr="0009779B">
        <w:t xml:space="preserve">voorop </w:t>
      </w:r>
      <w:r w:rsidR="004762A9">
        <w:t xml:space="preserve">te </w:t>
      </w:r>
      <w:r w:rsidR="006C5880">
        <w:t>stellen</w:t>
      </w:r>
      <w:r w:rsidR="0087686C" w:rsidRPr="0009779B">
        <w:t>.</w:t>
      </w:r>
    </w:p>
    <w:p w:rsidR="0087686C" w:rsidRPr="0009779B" w:rsidRDefault="0087686C" w:rsidP="0009779B"/>
    <w:p w:rsidR="0077074E" w:rsidRPr="005413BF" w:rsidRDefault="00295E2C" w:rsidP="0009779B">
      <w:r w:rsidRPr="0009779B">
        <w:t>De</w:t>
      </w:r>
      <w:r w:rsidR="004762A9">
        <w:t>ze</w:t>
      </w:r>
      <w:r w:rsidRPr="0009779B">
        <w:t xml:space="preserve"> leden vragen </w:t>
      </w:r>
      <w:r w:rsidR="007F44F2">
        <w:t xml:space="preserve">ook </w:t>
      </w:r>
      <w:r w:rsidRPr="0009779B">
        <w:t xml:space="preserve">of het meenemen van Haren, en als gevolg daarvan </w:t>
      </w:r>
      <w:r w:rsidR="00731DCF">
        <w:t xml:space="preserve">de keuze </w:t>
      </w:r>
      <w:r w:rsidR="00731DCF" w:rsidRPr="005413BF">
        <w:t>voor een reguliere samenvoeging</w:t>
      </w:r>
      <w:r w:rsidRPr="005413BF">
        <w:t xml:space="preserve">, niet </w:t>
      </w:r>
      <w:r w:rsidR="00731DCF" w:rsidRPr="005413BF">
        <w:t xml:space="preserve">leidt </w:t>
      </w:r>
      <w:r w:rsidRPr="005413BF">
        <w:t xml:space="preserve">tot een zodanige verzwaring van de lasten dat het problemen oplevert voor </w:t>
      </w:r>
      <w:r w:rsidR="00731DCF" w:rsidRPr="005413BF">
        <w:t>Groningen en Ten Boer</w:t>
      </w:r>
      <w:r w:rsidRPr="005413BF">
        <w:t>.</w:t>
      </w:r>
      <w:r w:rsidR="00AF0B0B" w:rsidRPr="005413BF">
        <w:t xml:space="preserve"> De keuze voor een reguliere samenvoeging heeft als enige verschil met </w:t>
      </w:r>
      <w:r w:rsidR="00472C83" w:rsidRPr="005413BF">
        <w:t xml:space="preserve">de eerder voorgestelde </w:t>
      </w:r>
      <w:r w:rsidRPr="005413BF">
        <w:t>lichte samenvoeging</w:t>
      </w:r>
      <w:r w:rsidR="00AF0B0B" w:rsidRPr="005413BF">
        <w:t xml:space="preserve"> dat de gemeente Groningen </w:t>
      </w:r>
      <w:r w:rsidR="00472C83" w:rsidRPr="005413BF">
        <w:t>net als</w:t>
      </w:r>
      <w:r w:rsidR="00AF0B0B" w:rsidRPr="005413BF">
        <w:t xml:space="preserve"> de gemeenten Haren en Ten Boer</w:t>
      </w:r>
      <w:r w:rsidRPr="005413BF">
        <w:t xml:space="preserve"> wordt opgeheven.</w:t>
      </w:r>
      <w:r w:rsidR="0077074E" w:rsidRPr="005413BF">
        <w:t xml:space="preserve"> </w:t>
      </w:r>
      <w:r w:rsidR="00472C83" w:rsidRPr="005413BF">
        <w:t xml:space="preserve">De belangrijkste gevolgen hiervan zijn dat de burgemeester van </w:t>
      </w:r>
      <w:r w:rsidR="00472C83" w:rsidRPr="005413BF">
        <w:lastRenderedPageBreak/>
        <w:t xml:space="preserve">Groningen ontslagen zal worden en dat het </w:t>
      </w:r>
      <w:r w:rsidR="0077074E" w:rsidRPr="005413BF">
        <w:t xml:space="preserve">regime van de Wet arhi inzake de </w:t>
      </w:r>
      <w:r w:rsidR="00472C83" w:rsidRPr="005413BF">
        <w:t xml:space="preserve">overgang </w:t>
      </w:r>
      <w:r w:rsidR="0077074E" w:rsidRPr="005413BF">
        <w:t xml:space="preserve">van personeel </w:t>
      </w:r>
      <w:r w:rsidR="00472C83" w:rsidRPr="005413BF">
        <w:t xml:space="preserve">op de gemeente Groningen </w:t>
      </w:r>
      <w:r w:rsidR="0077074E" w:rsidRPr="005413BF">
        <w:t xml:space="preserve">van toepassing </w:t>
      </w:r>
      <w:r w:rsidR="00472C83" w:rsidRPr="005413BF">
        <w:t>zal zijn, zoals ook geldt voor de burgemeester en het personeel van Haren en Ten Boer</w:t>
      </w:r>
      <w:r w:rsidR="0077074E" w:rsidRPr="005413BF">
        <w:t>.</w:t>
      </w:r>
      <w:r w:rsidR="00AF0B0B" w:rsidRPr="005413BF">
        <w:t xml:space="preserve"> </w:t>
      </w:r>
      <w:r w:rsidR="00C41DFE" w:rsidRPr="005413BF">
        <w:t>In d</w:t>
      </w:r>
      <w:r w:rsidR="007A16CA" w:rsidRPr="005413BF">
        <w:t xml:space="preserve">e maatstaf herindeling </w:t>
      </w:r>
      <w:r w:rsidR="00C41DFE" w:rsidRPr="005413BF">
        <w:t xml:space="preserve">is rekening gehouden met de kosten die zijn gemoeid met </w:t>
      </w:r>
      <w:r w:rsidR="003C5635" w:rsidRPr="005413BF">
        <w:t xml:space="preserve">de </w:t>
      </w:r>
      <w:r w:rsidR="00C41DFE" w:rsidRPr="005413BF">
        <w:t>opheffing van gemeenten</w:t>
      </w:r>
      <w:r w:rsidR="004762A9" w:rsidRPr="005413BF">
        <w:t xml:space="preserve">. Dit </w:t>
      </w:r>
      <w:r w:rsidR="00BD61CB" w:rsidRPr="005413BF">
        <w:t xml:space="preserve">betekent dat </w:t>
      </w:r>
      <w:r w:rsidR="00AF0B0B" w:rsidRPr="005413BF">
        <w:t>de gemeente Groningen voor de opheffing een financiële compensatie</w:t>
      </w:r>
      <w:r w:rsidR="00BD61CB" w:rsidRPr="005413BF">
        <w:t xml:space="preserve"> ontvangt</w:t>
      </w:r>
      <w:r w:rsidR="00C41DFE" w:rsidRPr="005413BF">
        <w:t xml:space="preserve">. </w:t>
      </w:r>
    </w:p>
    <w:p w:rsidR="0077074E" w:rsidRPr="005413BF" w:rsidRDefault="0077074E" w:rsidP="0009779B"/>
    <w:p w:rsidR="00295E2C" w:rsidRPr="005413BF" w:rsidRDefault="007F44F2" w:rsidP="0009779B">
      <w:r w:rsidRPr="005413BF">
        <w:t>Voorts</w:t>
      </w:r>
      <w:r w:rsidR="003C5635" w:rsidRPr="005413BF">
        <w:t xml:space="preserve"> vragen deze leden of een reguliere samenvoeging voldoende draagvlak in Groningen en Ten Boer heeft. </w:t>
      </w:r>
      <w:r w:rsidR="007A16CA" w:rsidRPr="005413BF">
        <w:t xml:space="preserve">De </w:t>
      </w:r>
      <w:r w:rsidR="00AF0B0B" w:rsidRPr="005413BF">
        <w:t xml:space="preserve">keuze voor een reguliere samenvoeging </w:t>
      </w:r>
      <w:r w:rsidR="007A16CA" w:rsidRPr="005413BF">
        <w:t xml:space="preserve">heeft niet geleid tot een vermindering van het </w:t>
      </w:r>
      <w:r w:rsidR="00AF0B0B" w:rsidRPr="005413BF">
        <w:t xml:space="preserve">bestuurlijk of maatschappelijk </w:t>
      </w:r>
      <w:r w:rsidR="007A16CA" w:rsidRPr="005413BF">
        <w:t>draagvlak</w:t>
      </w:r>
      <w:r w:rsidR="00AF0B0B" w:rsidRPr="005413BF">
        <w:t xml:space="preserve"> in </w:t>
      </w:r>
      <w:r w:rsidR="0077074E" w:rsidRPr="005413BF">
        <w:t xml:space="preserve">de gemeenten </w:t>
      </w:r>
      <w:r w:rsidR="00AF0B0B" w:rsidRPr="005413BF">
        <w:t>Groningen en Ten Boer</w:t>
      </w:r>
      <w:r w:rsidR="007A16CA" w:rsidRPr="005413BF">
        <w:t>.</w:t>
      </w:r>
      <w:r w:rsidR="00BD61CB" w:rsidRPr="005413BF">
        <w:t xml:space="preserve"> Hoewel het bestuur van de gemeente Groningen een voorkeur </w:t>
      </w:r>
      <w:r w:rsidR="0077074E" w:rsidRPr="005413BF">
        <w:t xml:space="preserve">heeft </w:t>
      </w:r>
      <w:r w:rsidR="00BD61CB" w:rsidRPr="005413BF">
        <w:t xml:space="preserve">voor de variant lichte samenvoeging, heeft het laten weten dat het </w:t>
      </w:r>
      <w:r w:rsidR="0077074E" w:rsidRPr="005413BF">
        <w:t xml:space="preserve">een reguliere samenvoeging gelet op het </w:t>
      </w:r>
      <w:r w:rsidR="003C5635" w:rsidRPr="005413BF">
        <w:t>geldende</w:t>
      </w:r>
      <w:r w:rsidR="0077074E" w:rsidRPr="005413BF">
        <w:t xml:space="preserve"> Beleidskader</w:t>
      </w:r>
      <w:r w:rsidR="00BD61CB" w:rsidRPr="005413BF">
        <w:t xml:space="preserve"> </w:t>
      </w:r>
      <w:r w:rsidR="003C5635" w:rsidRPr="005413BF">
        <w:t xml:space="preserve">gemeentelijke herindeling </w:t>
      </w:r>
      <w:r w:rsidR="00BD61CB" w:rsidRPr="005413BF">
        <w:t xml:space="preserve">en </w:t>
      </w:r>
      <w:r w:rsidR="004762A9" w:rsidRPr="005413BF">
        <w:t xml:space="preserve">in het belang van een zo groot mogelijk </w:t>
      </w:r>
      <w:r w:rsidR="0077074E" w:rsidRPr="005413BF">
        <w:t>draagvlak voor de herindeling kan accepteren.</w:t>
      </w:r>
    </w:p>
    <w:p w:rsidR="009949EB" w:rsidRPr="005413BF" w:rsidRDefault="009949EB" w:rsidP="0009779B"/>
    <w:p w:rsidR="001501A2" w:rsidRPr="005413BF" w:rsidRDefault="004762A9" w:rsidP="001501A2">
      <w:r w:rsidRPr="005413BF">
        <w:t xml:space="preserve">Tot slot vragen de </w:t>
      </w:r>
      <w:r w:rsidR="009949EB" w:rsidRPr="005413BF">
        <w:t xml:space="preserve">leden </w:t>
      </w:r>
      <w:r w:rsidRPr="005413BF">
        <w:t xml:space="preserve">van de SGP-fractie </w:t>
      </w:r>
      <w:r w:rsidR="009949EB" w:rsidRPr="005413BF">
        <w:t xml:space="preserve">of </w:t>
      </w:r>
      <w:r w:rsidR="004E4296" w:rsidRPr="005413BF">
        <w:t xml:space="preserve">het provinciale criterium ‘schaalniveau’ </w:t>
      </w:r>
      <w:r w:rsidR="009949EB" w:rsidRPr="005413BF">
        <w:t>gewenst is en of hiermee niet te gemakkelijk wordt verondersteld dat een grotere gemeente automatisch beter functioneert. Worden klein en financieel zwak niet te</w:t>
      </w:r>
      <w:r w:rsidR="009949EB" w:rsidRPr="0009779B">
        <w:t xml:space="preserve"> eenvoudig op één lijn gesteld en is de situatie van de stad Groningen niet ook financieel problematisch (geweest)</w:t>
      </w:r>
      <w:r w:rsidR="006C5880">
        <w:t xml:space="preserve">, zo vragen </w:t>
      </w:r>
      <w:r>
        <w:t>deze leden</w:t>
      </w:r>
      <w:r w:rsidR="006C5880">
        <w:t>.</w:t>
      </w:r>
      <w:r w:rsidR="000C2D5B">
        <w:t xml:space="preserve"> </w:t>
      </w:r>
      <w:r w:rsidR="009949EB" w:rsidRPr="0009779B">
        <w:t xml:space="preserve">De regering is van </w:t>
      </w:r>
      <w:r w:rsidR="006C5880">
        <w:t>oordeel</w:t>
      </w:r>
      <w:r w:rsidR="009949EB" w:rsidRPr="0009779B">
        <w:t xml:space="preserve"> dat het criterium schaalniveau een </w:t>
      </w:r>
      <w:r w:rsidR="005F6FCD" w:rsidRPr="0009779B">
        <w:t>bruikbaar criterium is</w:t>
      </w:r>
      <w:r w:rsidR="00BD61CB" w:rsidRPr="00BD61CB">
        <w:t xml:space="preserve"> </w:t>
      </w:r>
      <w:r w:rsidR="00BD61CB" w:rsidRPr="0009779B">
        <w:t>in de context waarin het door de provincie Groningen wordt gehanteerd</w:t>
      </w:r>
      <w:r w:rsidR="005F6FCD" w:rsidRPr="0009779B">
        <w:t xml:space="preserve">. Het gaat </w:t>
      </w:r>
      <w:r w:rsidR="00BD61CB">
        <w:t xml:space="preserve">daarbij </w:t>
      </w:r>
      <w:r w:rsidR="005F6FCD" w:rsidRPr="0009779B">
        <w:t xml:space="preserve">niet om </w:t>
      </w:r>
      <w:r w:rsidR="00BD61CB">
        <w:t xml:space="preserve">een </w:t>
      </w:r>
      <w:r w:rsidR="003C5635">
        <w:t>bepaalde</w:t>
      </w:r>
      <w:r w:rsidR="00BD61CB">
        <w:t xml:space="preserve"> omvang of </w:t>
      </w:r>
      <w:r w:rsidR="003C5635">
        <w:t>een bepaald aantal inwoners</w:t>
      </w:r>
      <w:r w:rsidR="006C5880">
        <w:t>,</w:t>
      </w:r>
      <w:r w:rsidR="005F6FCD" w:rsidRPr="0009779B">
        <w:t xml:space="preserve"> maar om </w:t>
      </w:r>
      <w:r w:rsidR="00BD61CB">
        <w:t xml:space="preserve">de </w:t>
      </w:r>
      <w:r w:rsidR="006C5880">
        <w:t xml:space="preserve">schaal die </w:t>
      </w:r>
      <w:r w:rsidR="00BD61CB">
        <w:t xml:space="preserve">het best </w:t>
      </w:r>
      <w:r w:rsidR="005F6FCD" w:rsidRPr="0009779B">
        <w:t xml:space="preserve">aansluit bij de </w:t>
      </w:r>
      <w:r w:rsidR="00BD61CB">
        <w:t xml:space="preserve">lokale en </w:t>
      </w:r>
      <w:r w:rsidR="005F6FCD" w:rsidRPr="0009779B">
        <w:t xml:space="preserve">regionale vraagstukken. </w:t>
      </w:r>
      <w:r w:rsidR="00BD61CB">
        <w:t>D</w:t>
      </w:r>
      <w:r w:rsidR="001501A2">
        <w:t xml:space="preserve">e financiële positie van de gemeente Groningen </w:t>
      </w:r>
      <w:r w:rsidR="00BD61CB" w:rsidRPr="005413BF">
        <w:t xml:space="preserve">heeft zich </w:t>
      </w:r>
      <w:r w:rsidR="001501A2" w:rsidRPr="005413BF">
        <w:t xml:space="preserve">de afgelopen jaren positief ontwikkeld. Voor alle begrotingsjaren is </w:t>
      </w:r>
      <w:r w:rsidR="00BD61CB" w:rsidRPr="005413BF">
        <w:t xml:space="preserve">sprake van een </w:t>
      </w:r>
      <w:r w:rsidR="001501A2" w:rsidRPr="005413BF">
        <w:t xml:space="preserve">structureel evenwicht en de aanwezige weerstandscapaciteit is </w:t>
      </w:r>
      <w:r w:rsidR="00637A91" w:rsidRPr="005413BF">
        <w:t xml:space="preserve">volgens de provincie Groningen, die </w:t>
      </w:r>
      <w:r w:rsidRPr="005413BF">
        <w:t xml:space="preserve">al jaren </w:t>
      </w:r>
      <w:r w:rsidR="00637A91" w:rsidRPr="005413BF">
        <w:t xml:space="preserve">verscherpt toezicht </w:t>
      </w:r>
      <w:r w:rsidR="007B0D7F" w:rsidRPr="005413BF">
        <w:t xml:space="preserve">op de begroting van de gemeente Groningen </w:t>
      </w:r>
      <w:r w:rsidR="00637A91" w:rsidRPr="005413BF">
        <w:t xml:space="preserve">uitoefent, </w:t>
      </w:r>
      <w:r w:rsidR="001501A2" w:rsidRPr="005413BF">
        <w:t xml:space="preserve">voldoende om de risico’s af te dekken. </w:t>
      </w:r>
    </w:p>
    <w:p w:rsidR="005F6FCD" w:rsidRPr="005413BF" w:rsidRDefault="005F6FCD" w:rsidP="0009779B"/>
    <w:p w:rsidR="001F1F15" w:rsidRPr="0009779B" w:rsidRDefault="005F6FCD" w:rsidP="0009779B">
      <w:r w:rsidRPr="005413BF">
        <w:t xml:space="preserve">De leden van de </w:t>
      </w:r>
      <w:r w:rsidRPr="005046C0">
        <w:rPr>
          <w:b/>
        </w:rPr>
        <w:t>50Plus</w:t>
      </w:r>
      <w:r w:rsidRPr="005413BF">
        <w:t xml:space="preserve">-fractie vragen de regering nader toe te lichten hoe het herindelingsadvies en de voorbereiding ervan procedureel zijn getoetst en beoordeeld. </w:t>
      </w:r>
      <w:r w:rsidR="00B678EA" w:rsidRPr="005413BF">
        <w:t xml:space="preserve">Met een verwijzing naar het beperkte draagvlak in de gemeente Haren vragen </w:t>
      </w:r>
      <w:r w:rsidR="003C5635" w:rsidRPr="005413BF">
        <w:t xml:space="preserve">deze leden </w:t>
      </w:r>
      <w:r w:rsidR="00B678EA" w:rsidRPr="005413BF">
        <w:t>of volgens de regering aan de vereisten van zorgvuldigheid, behoorlijkheid en rechtmatigheid is voldaan.</w:t>
      </w:r>
      <w:r w:rsidR="000C2D5B" w:rsidRPr="005413BF">
        <w:t xml:space="preserve"> </w:t>
      </w:r>
      <w:r w:rsidR="00C75DE1" w:rsidRPr="005413BF">
        <w:t xml:space="preserve">Het herindelingsadvies en de </w:t>
      </w:r>
      <w:r w:rsidR="00FB1BFE" w:rsidRPr="005413BF">
        <w:t>totstandkoming</w:t>
      </w:r>
      <w:r w:rsidR="00C75DE1" w:rsidRPr="005413BF">
        <w:t xml:space="preserve"> ervan </w:t>
      </w:r>
      <w:r w:rsidR="008171DB" w:rsidRPr="005413BF">
        <w:t xml:space="preserve">zijn </w:t>
      </w:r>
      <w:r w:rsidR="00C75DE1" w:rsidRPr="005413BF">
        <w:t xml:space="preserve">getoetst aan </w:t>
      </w:r>
      <w:r w:rsidR="008171DB" w:rsidRPr="005413BF">
        <w:t xml:space="preserve">de Wet arhi en </w:t>
      </w:r>
      <w:r w:rsidR="00C75DE1" w:rsidRPr="005413BF">
        <w:t>het Beleidskader gemeentelijke herindeling van 2013</w:t>
      </w:r>
      <w:r w:rsidR="008171DB" w:rsidRPr="005413BF">
        <w:t>.</w:t>
      </w:r>
      <w:r w:rsidR="008171DB">
        <w:t xml:space="preserve"> </w:t>
      </w:r>
      <w:r w:rsidR="00BD61CB">
        <w:t xml:space="preserve">Zoals in </w:t>
      </w:r>
      <w:r w:rsidR="00637A91">
        <w:t>§ </w:t>
      </w:r>
      <w:r w:rsidR="00BD61CB">
        <w:t>2</w:t>
      </w:r>
      <w:r w:rsidR="00637A91">
        <w:t>.2</w:t>
      </w:r>
      <w:r w:rsidR="00BD61CB">
        <w:t xml:space="preserve"> van de memorie van toelichting is</w:t>
      </w:r>
      <w:r w:rsidR="00637A91">
        <w:t xml:space="preserve"> beschreven</w:t>
      </w:r>
      <w:r w:rsidR="00BD61CB">
        <w:t>, heeft</w:t>
      </w:r>
      <w:r w:rsidR="00971AC4">
        <w:t xml:space="preserve"> </w:t>
      </w:r>
      <w:r w:rsidR="00BD61CB">
        <w:t>i</w:t>
      </w:r>
      <w:r w:rsidR="00971AC4">
        <w:t>n overeenstemming met de Wet arhi een zorgvuldige procedure plaatsgevonden.</w:t>
      </w:r>
      <w:r w:rsidR="00C75DE1" w:rsidRPr="0009779B">
        <w:t xml:space="preserve"> </w:t>
      </w:r>
      <w:r w:rsidR="00BD61CB">
        <w:t>Ook inhoudelijk</w:t>
      </w:r>
      <w:r w:rsidR="00BD61CB" w:rsidRPr="0009779B">
        <w:t xml:space="preserve"> </w:t>
      </w:r>
      <w:r w:rsidR="008171DB">
        <w:t>voldoet</w:t>
      </w:r>
      <w:r w:rsidR="008171DB" w:rsidRPr="0009779B">
        <w:t xml:space="preserve"> het herindelingsadvies </w:t>
      </w:r>
      <w:r w:rsidR="008171DB">
        <w:t xml:space="preserve">in voldoende mate </w:t>
      </w:r>
      <w:r w:rsidR="008171DB" w:rsidRPr="0009779B">
        <w:t xml:space="preserve">aan </w:t>
      </w:r>
      <w:r w:rsidR="00971AC4">
        <w:t xml:space="preserve">de criteria van </w:t>
      </w:r>
      <w:r w:rsidR="008171DB" w:rsidRPr="0009779B">
        <w:t>het Beleidskader</w:t>
      </w:r>
      <w:r w:rsidR="00BD61CB">
        <w:t xml:space="preserve">, zoals </w:t>
      </w:r>
      <w:r w:rsidR="00637A91">
        <w:t>uiteengezet</w:t>
      </w:r>
      <w:r w:rsidR="00BD61CB">
        <w:t xml:space="preserve"> </w:t>
      </w:r>
      <w:r w:rsidR="00637A91">
        <w:t xml:space="preserve">is </w:t>
      </w:r>
      <w:r w:rsidR="00BD61CB">
        <w:t>in hoofdstuk 3 van de memorie van toelichting</w:t>
      </w:r>
      <w:r w:rsidR="00637A91">
        <w:t>.</w:t>
      </w:r>
    </w:p>
    <w:p w:rsidR="001F1F15" w:rsidRDefault="001F1F15" w:rsidP="0009779B"/>
    <w:p w:rsidR="0009779B" w:rsidRPr="0009779B" w:rsidRDefault="0009779B" w:rsidP="0009779B"/>
    <w:p w:rsidR="001F1F15" w:rsidRPr="0009779B" w:rsidRDefault="001F1F15" w:rsidP="0009779B">
      <w:pPr>
        <w:pStyle w:val="Kop1"/>
      </w:pPr>
      <w:r w:rsidRPr="0009779B">
        <w:t>3. Toets aan het Beleidskader gemeentelijke herindeling</w:t>
      </w:r>
    </w:p>
    <w:p w:rsidR="001F1F15" w:rsidRPr="0009779B" w:rsidRDefault="001F1F15" w:rsidP="0009779B"/>
    <w:p w:rsidR="0018209C" w:rsidRPr="005413BF" w:rsidRDefault="001F1F15" w:rsidP="0009779B">
      <w:r w:rsidRPr="0009779B">
        <w:t xml:space="preserve">De leden van de </w:t>
      </w:r>
      <w:r w:rsidRPr="005046C0">
        <w:rPr>
          <w:b/>
        </w:rPr>
        <w:t>VVD</w:t>
      </w:r>
      <w:r w:rsidRPr="0009779B">
        <w:t>-fractie vragen waar</w:t>
      </w:r>
      <w:r w:rsidR="002E3105">
        <w:t xml:space="preserve">op </w:t>
      </w:r>
      <w:r w:rsidRPr="0009779B">
        <w:t xml:space="preserve">de stelling </w:t>
      </w:r>
      <w:r w:rsidR="002E3105">
        <w:t xml:space="preserve">is gebaseerd </w:t>
      </w:r>
      <w:r w:rsidRPr="0009779B">
        <w:t>dat deze herindeling zal leiden tot een grote toename in bestuur</w:t>
      </w:r>
      <w:r w:rsidR="00424620" w:rsidRPr="0009779B">
        <w:t>s</w:t>
      </w:r>
      <w:r w:rsidRPr="0009779B">
        <w:t xml:space="preserve">kracht voor de inwoners van Ten Boer en Haren en op welke specifieke gebieden de herindeling dergelijk effect zal sorteren. </w:t>
      </w:r>
      <w:r w:rsidR="00B92645" w:rsidRPr="0009779B">
        <w:t>De</w:t>
      </w:r>
      <w:r w:rsidR="00F4007A">
        <w:t>ze verwachting is vooral gebaseerd op de gevolgen van de</w:t>
      </w:r>
      <w:r w:rsidR="00B92645" w:rsidRPr="0009779B">
        <w:t xml:space="preserve"> </w:t>
      </w:r>
      <w:r w:rsidR="00523B71">
        <w:t xml:space="preserve">herindeling </w:t>
      </w:r>
      <w:r w:rsidR="00F4007A">
        <w:t xml:space="preserve">voor </w:t>
      </w:r>
      <w:r w:rsidR="00B92645" w:rsidRPr="0009779B">
        <w:t xml:space="preserve">de omvang van het ambtelijk apparaat. De nieuwe gemeente zal bijvoorbeeld </w:t>
      </w:r>
      <w:r w:rsidR="00523B71" w:rsidRPr="005413BF">
        <w:t xml:space="preserve">meer </w:t>
      </w:r>
      <w:r w:rsidR="00F4007A" w:rsidRPr="005413BF">
        <w:t>hoog</w:t>
      </w:r>
      <w:r w:rsidR="00B92645" w:rsidRPr="005413BF">
        <w:t>geschoolde en gespecialiseerde ambtenaren in dienst hebben</w:t>
      </w:r>
      <w:r w:rsidR="00523B71" w:rsidRPr="005413BF">
        <w:t>, wat</w:t>
      </w:r>
      <w:r w:rsidR="00B92645" w:rsidRPr="005413BF">
        <w:t xml:space="preserve"> resulteert in </w:t>
      </w:r>
      <w:r w:rsidR="00F4007A" w:rsidRPr="005413BF">
        <w:t xml:space="preserve">een betere ondersteuning van het gemeentebestuur en </w:t>
      </w:r>
      <w:r w:rsidR="00B92645" w:rsidRPr="005413BF">
        <w:t>een meer vakkundige afhandeling van</w:t>
      </w:r>
      <w:r w:rsidR="00F4007A" w:rsidRPr="005413BF">
        <w:t xml:space="preserve"> aanvragen en verzoeken van de inwoners</w:t>
      </w:r>
      <w:r w:rsidR="00523B71" w:rsidRPr="005413BF">
        <w:t>.</w:t>
      </w:r>
      <w:r w:rsidR="00B92645" w:rsidRPr="005413BF">
        <w:t xml:space="preserve"> </w:t>
      </w:r>
      <w:r w:rsidR="00F4007A" w:rsidRPr="005413BF">
        <w:t xml:space="preserve">Voor de gemeente Ten Boer spelen deze overwegingen in mindere mate, nu de gemeente Groningen al sinds 2007 het merendeel van de ambtelijke taken van Ten Boer uitvoert. Voor zowel Haren als Ten Boer geldt dat </w:t>
      </w:r>
      <w:r w:rsidR="00B92645" w:rsidRPr="005413BF">
        <w:t>een kwalitatief en kwantitatief hoogwaardiger ondersteuning door de griffie</w:t>
      </w:r>
      <w:r w:rsidR="00F4007A" w:rsidRPr="005413BF">
        <w:t xml:space="preserve"> kan leiden tot een betere taakuitoefening door de raad</w:t>
      </w:r>
      <w:r w:rsidR="00B92645" w:rsidRPr="005413BF">
        <w:t>.</w:t>
      </w:r>
      <w:r w:rsidR="00523B71" w:rsidRPr="005413BF">
        <w:t xml:space="preserve"> </w:t>
      </w:r>
    </w:p>
    <w:p w:rsidR="0018209C" w:rsidRPr="005413BF" w:rsidRDefault="0018209C" w:rsidP="0009779B"/>
    <w:p w:rsidR="005F6FCD" w:rsidRPr="0009779B" w:rsidRDefault="0018209C" w:rsidP="0009779B">
      <w:r w:rsidRPr="005413BF">
        <w:lastRenderedPageBreak/>
        <w:t xml:space="preserve">In reactie op </w:t>
      </w:r>
      <w:r w:rsidR="002E3105" w:rsidRPr="005413BF">
        <w:t xml:space="preserve">de vragen van </w:t>
      </w:r>
      <w:r w:rsidRPr="005413BF">
        <w:t>de</w:t>
      </w:r>
      <w:r w:rsidR="002E3105" w:rsidRPr="005413BF">
        <w:t>zelfde</w:t>
      </w:r>
      <w:r w:rsidRPr="005413BF">
        <w:t xml:space="preserve"> leden </w:t>
      </w:r>
      <w:r w:rsidR="002E3105" w:rsidRPr="005413BF">
        <w:t xml:space="preserve">naar </w:t>
      </w:r>
      <w:r w:rsidRPr="005413BF">
        <w:t xml:space="preserve">de gemeenschappelijke regelingen </w:t>
      </w:r>
      <w:r w:rsidR="002E3105" w:rsidRPr="005413BF">
        <w:t xml:space="preserve">waarin de drie gemeenten participeren, </w:t>
      </w:r>
      <w:r w:rsidRPr="005413BF">
        <w:t>is als bijlage bij deze nota een overzicht</w:t>
      </w:r>
      <w:r w:rsidRPr="0009779B">
        <w:t xml:space="preserve"> opgenomen met de betreffende samenwerkingsverbanden, zowel publiekrechtelijk als privaatrechtelijk. Uit het overzicht komt naar voren dat op veel beleidsterreinen sprake is van samenwerkingsverbanden waarin meerdere en soms zelfs alle Groninger gemeenten parti</w:t>
      </w:r>
      <w:r w:rsidR="000C2D5B">
        <w:t xml:space="preserve">ciperen. </w:t>
      </w:r>
    </w:p>
    <w:p w:rsidR="0018209C" w:rsidRPr="0009779B" w:rsidRDefault="0018209C" w:rsidP="0009779B"/>
    <w:p w:rsidR="0018209C" w:rsidRPr="0009779B" w:rsidRDefault="0018209C" w:rsidP="0009779B">
      <w:r w:rsidRPr="0009779B">
        <w:t>De</w:t>
      </w:r>
      <w:r w:rsidR="002E3105">
        <w:t>ze</w:t>
      </w:r>
      <w:r w:rsidRPr="0009779B">
        <w:t xml:space="preserve"> leden </w:t>
      </w:r>
      <w:r w:rsidR="002E3105">
        <w:t xml:space="preserve">vragen voorts </w:t>
      </w:r>
      <w:r w:rsidRPr="0009779B">
        <w:t xml:space="preserve">hoe de regering de vorderingen op het gebied van de decentralisatie van de </w:t>
      </w:r>
      <w:r w:rsidR="002E3105">
        <w:t xml:space="preserve">Wet maatschappelijke ondersteuning 2015 (Wmo) </w:t>
      </w:r>
      <w:r w:rsidRPr="0009779B">
        <w:t xml:space="preserve">en de jeugdzorg en de implementatie van de Omgevingswet in de gemeenten </w:t>
      </w:r>
      <w:r w:rsidR="002E3105">
        <w:t xml:space="preserve">Groningen, Haren en Ten Boer </w:t>
      </w:r>
      <w:r w:rsidRPr="0009779B">
        <w:t xml:space="preserve">beoordeelt. </w:t>
      </w:r>
      <w:r w:rsidR="003F1306">
        <w:t xml:space="preserve">Volgens de provincie liggen </w:t>
      </w:r>
      <w:r w:rsidR="002E3105">
        <w:t xml:space="preserve">alle drie de gemeenten </w:t>
      </w:r>
      <w:r w:rsidR="006D2D98" w:rsidRPr="0009779B">
        <w:t xml:space="preserve">op schema bij de uitvoering van de decentralisaties van de </w:t>
      </w:r>
      <w:r w:rsidR="002E3105">
        <w:t xml:space="preserve">Wmo </w:t>
      </w:r>
      <w:r w:rsidR="006D2D98" w:rsidRPr="0009779B">
        <w:t xml:space="preserve">en de jeugdzorg. Dit </w:t>
      </w:r>
      <w:r w:rsidR="002E3105">
        <w:t xml:space="preserve">is </w:t>
      </w:r>
      <w:r w:rsidR="006D2D98" w:rsidRPr="0009779B">
        <w:t xml:space="preserve">mede </w:t>
      </w:r>
      <w:r w:rsidR="002E3105">
        <w:t xml:space="preserve">te danken aan </w:t>
      </w:r>
      <w:r w:rsidR="006D2D98" w:rsidRPr="0009779B">
        <w:t xml:space="preserve">de </w:t>
      </w:r>
      <w:r w:rsidR="002E3105">
        <w:t xml:space="preserve">gemeentelijke </w:t>
      </w:r>
      <w:r w:rsidR="006D2D98" w:rsidRPr="0009779B">
        <w:t xml:space="preserve">samenwerking in de provincie Groningen, waarvan </w:t>
      </w:r>
      <w:r w:rsidR="002E3105" w:rsidRPr="0009779B">
        <w:t xml:space="preserve">de gemeente Groningen </w:t>
      </w:r>
      <w:r w:rsidR="006D2D98" w:rsidRPr="0009779B">
        <w:t xml:space="preserve">op een aantal gebieden </w:t>
      </w:r>
      <w:r w:rsidR="00CF0F40" w:rsidRPr="0009779B">
        <w:t xml:space="preserve">de belangrijkste trekker is. Voor de inkoop en de transformatie van de </w:t>
      </w:r>
      <w:r w:rsidR="00550C23" w:rsidRPr="0009779B">
        <w:t>jeugd</w:t>
      </w:r>
      <w:r w:rsidR="00550C23">
        <w:t>zorg</w:t>
      </w:r>
      <w:r w:rsidR="00550C23" w:rsidRPr="0009779B">
        <w:t xml:space="preserve"> </w:t>
      </w:r>
      <w:r w:rsidR="00CF0F40" w:rsidRPr="0009779B">
        <w:t xml:space="preserve">participeren de gemeenten Groningen, Haren </w:t>
      </w:r>
      <w:r w:rsidR="002E3105">
        <w:t xml:space="preserve">en Ten Boer </w:t>
      </w:r>
      <w:r w:rsidR="00CF0F40" w:rsidRPr="0009779B">
        <w:t xml:space="preserve">in regionaal verband samen met de overige gemeenten in de provincie in </w:t>
      </w:r>
      <w:r w:rsidR="002E3105">
        <w:t>een gezamenlijke inkooporganisatie (</w:t>
      </w:r>
      <w:r w:rsidR="00CF0F40" w:rsidRPr="0009779B">
        <w:t>regionale inkooporganisatie Groninger gemeenten</w:t>
      </w:r>
      <w:r w:rsidR="002E3105">
        <w:t>)</w:t>
      </w:r>
      <w:r w:rsidR="00CF0F40" w:rsidRPr="0009779B">
        <w:t>.</w:t>
      </w:r>
      <w:r w:rsidR="00810983" w:rsidRPr="0009779B">
        <w:t xml:space="preserve"> </w:t>
      </w:r>
    </w:p>
    <w:p w:rsidR="000C2D5B" w:rsidRDefault="000C2D5B" w:rsidP="0009779B"/>
    <w:p w:rsidR="00B7329B" w:rsidRPr="0009779B" w:rsidRDefault="000C2D5B" w:rsidP="0009779B">
      <w:r>
        <w:t>Wat betreft</w:t>
      </w:r>
      <w:r w:rsidR="00810983" w:rsidRPr="0009779B">
        <w:t xml:space="preserve"> de implementatie van de Omgevingswet zijn er duidelijke verschillen tussen de gemeenten Groningen en Ten Boer enerzijds en de gemeente Haren anderzijds. </w:t>
      </w:r>
      <w:r w:rsidR="00EA205F" w:rsidRPr="0009779B">
        <w:t xml:space="preserve">Voor </w:t>
      </w:r>
      <w:r w:rsidR="00810983" w:rsidRPr="0009779B">
        <w:t xml:space="preserve">Groningen en Ten </w:t>
      </w:r>
      <w:r w:rsidR="00EA205F" w:rsidRPr="0009779B">
        <w:t xml:space="preserve">Boer voert de gemeente Groningen deze taak uit en zijn er belangrijke stappen gezet in de voorbereidingen </w:t>
      </w:r>
      <w:r w:rsidR="002E3105">
        <w:t>van</w:t>
      </w:r>
      <w:r w:rsidR="00EA205F" w:rsidRPr="0009779B">
        <w:t xml:space="preserve"> de implementatie. Zo is er een gezamenlijke organisatie opgezet, zijn </w:t>
      </w:r>
      <w:r w:rsidR="002E3105">
        <w:t xml:space="preserve">er voldoende </w:t>
      </w:r>
      <w:r w:rsidR="00EA205F" w:rsidRPr="0009779B">
        <w:t>middelen gereserveerd</w:t>
      </w:r>
      <w:r w:rsidR="002E3105">
        <w:t xml:space="preserve"> en zijn er reeds</w:t>
      </w:r>
      <w:r w:rsidR="00EA205F" w:rsidRPr="0009779B">
        <w:t xml:space="preserve"> een plan van aanpak en een stappenanalyse</w:t>
      </w:r>
      <w:r w:rsidR="002E3105">
        <w:t xml:space="preserve"> gemaakt</w:t>
      </w:r>
      <w:r w:rsidR="00EA205F" w:rsidRPr="0009779B">
        <w:t xml:space="preserve">. </w:t>
      </w:r>
      <w:r w:rsidR="00550C23">
        <w:t>Het college</w:t>
      </w:r>
      <w:r w:rsidR="00EA205F" w:rsidRPr="0009779B">
        <w:t xml:space="preserve"> </w:t>
      </w:r>
      <w:r w:rsidR="00550C23">
        <w:t xml:space="preserve">heeft in 2016 </w:t>
      </w:r>
      <w:r w:rsidR="00EA205F" w:rsidRPr="0009779B">
        <w:t xml:space="preserve">een indicatief stappenplan aan de raad voorgelegd en de raad heeft geld </w:t>
      </w:r>
      <w:r w:rsidR="00550C23">
        <w:t>gereserveerd</w:t>
      </w:r>
      <w:r w:rsidR="00EA205F" w:rsidRPr="0009779B">
        <w:t xml:space="preserve"> voor een definitief plan van aanpak. Ook </w:t>
      </w:r>
      <w:r w:rsidR="00550C23">
        <w:t>heeft de gemeente</w:t>
      </w:r>
      <w:r w:rsidR="00550C23" w:rsidRPr="0009779B">
        <w:t xml:space="preserve"> </w:t>
      </w:r>
      <w:r w:rsidR="00EA205F" w:rsidRPr="0009779B">
        <w:t xml:space="preserve">in </w:t>
      </w:r>
      <w:r w:rsidR="00AD3E2D">
        <w:t xml:space="preserve">de </w:t>
      </w:r>
      <w:r w:rsidR="00AD3E2D">
        <w:rPr>
          <w:i/>
        </w:rPr>
        <w:t xml:space="preserve">Aanpak </w:t>
      </w:r>
      <w:r w:rsidR="00EA205F" w:rsidRPr="002E3105">
        <w:rPr>
          <w:i/>
        </w:rPr>
        <w:t>Beterr Haren</w:t>
      </w:r>
      <w:r w:rsidR="00EA205F" w:rsidRPr="0009779B">
        <w:t xml:space="preserve"> een aantal zaken opgenomen die gerelateerd zijn aan de Omgevingswet. Verder heeft Haren, in afwachting </w:t>
      </w:r>
      <w:r w:rsidR="002E3105">
        <w:t xml:space="preserve">de </w:t>
      </w:r>
      <w:r w:rsidR="00EA205F" w:rsidRPr="0009779B">
        <w:t xml:space="preserve">besluitvorming over </w:t>
      </w:r>
      <w:r w:rsidR="00550C23">
        <w:t xml:space="preserve">en </w:t>
      </w:r>
      <w:r w:rsidR="00EA205F" w:rsidRPr="0009779B">
        <w:t xml:space="preserve">invoering van de </w:t>
      </w:r>
      <w:r w:rsidR="002E3105">
        <w:t>O</w:t>
      </w:r>
      <w:r w:rsidR="00EA205F" w:rsidRPr="0009779B">
        <w:t>mgevingswet</w:t>
      </w:r>
      <w:r w:rsidR="002E3105">
        <w:t>,</w:t>
      </w:r>
      <w:r w:rsidR="00EA205F" w:rsidRPr="0009779B">
        <w:t xml:space="preserve"> nog geen stappen van betekenis gezet. Er </w:t>
      </w:r>
      <w:r w:rsidR="0098161A">
        <w:t xml:space="preserve">zijn bijvoorbeeld </w:t>
      </w:r>
      <w:r w:rsidR="00EA205F" w:rsidRPr="0009779B">
        <w:t xml:space="preserve">nog geen definitief plan van aanpak, </w:t>
      </w:r>
      <w:r w:rsidR="00ED619F">
        <w:t xml:space="preserve">geen </w:t>
      </w:r>
      <w:r w:rsidR="00EA205F" w:rsidRPr="0009779B">
        <w:t xml:space="preserve">projectorganisatie en </w:t>
      </w:r>
      <w:r w:rsidR="00ED619F">
        <w:t xml:space="preserve">geen </w:t>
      </w:r>
      <w:r w:rsidR="00EA205F" w:rsidRPr="0009779B">
        <w:t>financiële dekking.</w:t>
      </w:r>
    </w:p>
    <w:p w:rsidR="00B7329B" w:rsidRPr="0009779B" w:rsidRDefault="00B7329B" w:rsidP="0009779B"/>
    <w:p w:rsidR="00C86307" w:rsidRPr="0009779B" w:rsidRDefault="0098161A" w:rsidP="0009779B">
      <w:r>
        <w:t>Voorts vragen</w:t>
      </w:r>
      <w:r w:rsidR="00B7329B" w:rsidRPr="0009779B">
        <w:t xml:space="preserve"> de leden van de VVD-fractie in hoeverre de gemeenten Ten Boer en Haren in staat zijn de verantwoordelijkheden omtrent deze ontwikkelingen zelfstandig op zich te nemen. </w:t>
      </w:r>
      <w:r w:rsidR="00550C23">
        <w:t>Ook bij</w:t>
      </w:r>
      <w:r w:rsidR="00B7329B" w:rsidRPr="0009779B">
        <w:t xml:space="preserve"> deze vraag moet </w:t>
      </w:r>
      <w:r>
        <w:t>onderscheid worden gemaakt tussen de gemeente Ten Boer en de gemeente Haren. E</w:t>
      </w:r>
      <w:r w:rsidR="00B7329B" w:rsidRPr="0009779B">
        <w:t xml:space="preserve">r </w:t>
      </w:r>
      <w:r>
        <w:t xml:space="preserve">bestaan </w:t>
      </w:r>
      <w:r w:rsidR="00B7329B" w:rsidRPr="0009779B">
        <w:t xml:space="preserve">duidelijke verschillen tussen </w:t>
      </w:r>
      <w:r>
        <w:t xml:space="preserve">deze </w:t>
      </w:r>
      <w:r w:rsidR="00B7329B" w:rsidRPr="0009779B">
        <w:t>gemeenten</w:t>
      </w:r>
      <w:r>
        <w:t>,</w:t>
      </w:r>
      <w:r w:rsidR="00B7329B" w:rsidRPr="0009779B">
        <w:t xml:space="preserve"> omdat de gemeente Groningen </w:t>
      </w:r>
      <w:r>
        <w:t xml:space="preserve">sinds 1 januari 2017 </w:t>
      </w:r>
      <w:r w:rsidR="00550C23">
        <w:t xml:space="preserve">de </w:t>
      </w:r>
      <w:r w:rsidR="00B7329B" w:rsidRPr="0009779B">
        <w:t>taken</w:t>
      </w:r>
      <w:r w:rsidR="00550C23">
        <w:t xml:space="preserve"> in verband met </w:t>
      </w:r>
      <w:r w:rsidR="00B7329B" w:rsidRPr="0009779B">
        <w:t xml:space="preserve">de Wmo en de jeugdzorg alsook de implementatie van de </w:t>
      </w:r>
      <w:r>
        <w:t>O</w:t>
      </w:r>
      <w:r w:rsidR="00B7329B" w:rsidRPr="0009779B">
        <w:t xml:space="preserve">mgevingswet voor de gemeente Ten </w:t>
      </w:r>
      <w:r w:rsidR="00ED619F">
        <w:t>B</w:t>
      </w:r>
      <w:r w:rsidR="00B7329B" w:rsidRPr="0009779B">
        <w:t>oer uitvoert.</w:t>
      </w:r>
      <w:r w:rsidR="00C0590F" w:rsidRPr="0009779B">
        <w:t xml:space="preserve"> </w:t>
      </w:r>
      <w:r w:rsidR="00C86307" w:rsidRPr="0009779B">
        <w:t xml:space="preserve">De gemeente Haren heeft de uitvoering van de decentralisaties </w:t>
      </w:r>
      <w:r w:rsidR="00ED619F">
        <w:t xml:space="preserve">van de Wmo </w:t>
      </w:r>
      <w:r w:rsidR="00C86307" w:rsidRPr="0009779B">
        <w:t xml:space="preserve">en </w:t>
      </w:r>
      <w:r w:rsidR="00ED619F">
        <w:t xml:space="preserve">de </w:t>
      </w:r>
      <w:r w:rsidR="00C86307" w:rsidRPr="0009779B">
        <w:t xml:space="preserve">jeugdzorg </w:t>
      </w:r>
      <w:r w:rsidR="008323DF">
        <w:t xml:space="preserve">volgens de provincie Groningen </w:t>
      </w:r>
      <w:r w:rsidR="00C86307" w:rsidRPr="0009779B">
        <w:t xml:space="preserve">op orde. </w:t>
      </w:r>
      <w:r>
        <w:t>De k</w:t>
      </w:r>
      <w:r w:rsidR="00C86307" w:rsidRPr="0009779B">
        <w:t xml:space="preserve">wetsbaarheid </w:t>
      </w:r>
      <w:r>
        <w:t xml:space="preserve">op deze terreinen betreft </w:t>
      </w:r>
      <w:r w:rsidR="008323DF">
        <w:t xml:space="preserve">volgens de provincie, </w:t>
      </w:r>
      <w:r w:rsidR="00EE145B">
        <w:t>die toezicht houdt op de uitvoering van de taken</w:t>
      </w:r>
      <w:r w:rsidR="008323DF">
        <w:t xml:space="preserve"> in het fysieke domein, </w:t>
      </w:r>
      <w:r w:rsidR="00C86307" w:rsidRPr="0009779B">
        <w:t xml:space="preserve">specifieke (beleids)vraagstukken en casuïstiek, </w:t>
      </w:r>
      <w:r>
        <w:t xml:space="preserve">waarvoor </w:t>
      </w:r>
      <w:r w:rsidR="00C86307" w:rsidRPr="0009779B">
        <w:t xml:space="preserve">de </w:t>
      </w:r>
      <w:r>
        <w:t xml:space="preserve">benodigde </w:t>
      </w:r>
      <w:r w:rsidR="00C86307" w:rsidRPr="0009779B">
        <w:t>specialistische kennis</w:t>
      </w:r>
      <w:r w:rsidRPr="0098161A">
        <w:t xml:space="preserve"> </w:t>
      </w:r>
      <w:r w:rsidRPr="0009779B">
        <w:t>veelal ontbreekt</w:t>
      </w:r>
      <w:r w:rsidR="00C86307" w:rsidRPr="0009779B">
        <w:t xml:space="preserve">. Voor aanbesteden en gecompliceerde onderwerpen is Haren vaak afhankelijk van regionale samenwerking. </w:t>
      </w:r>
      <w:r w:rsidR="008323DF">
        <w:t xml:space="preserve">Haren </w:t>
      </w:r>
      <w:r w:rsidR="00C86307" w:rsidRPr="0009779B">
        <w:t xml:space="preserve">kan de uitvoering alleen zelfstandig continueren als zij zich in de toekomst verzekerd weet van goede samenwerking met de omliggende gemeenten. </w:t>
      </w:r>
      <w:r>
        <w:t xml:space="preserve">Voor </w:t>
      </w:r>
      <w:r w:rsidR="00C86307" w:rsidRPr="0009779B">
        <w:t xml:space="preserve">de uitvoering van de </w:t>
      </w:r>
      <w:r>
        <w:t>O</w:t>
      </w:r>
      <w:r w:rsidR="00C86307" w:rsidRPr="0009779B">
        <w:t>mgevingswet ontbeert Haren daarvoor binnen de ambtelijke organisatie de benodigde capaciteit</w:t>
      </w:r>
      <w:r w:rsidR="009B0731">
        <w:t xml:space="preserve"> en</w:t>
      </w:r>
      <w:r w:rsidR="009B0731" w:rsidRPr="0009779B">
        <w:t xml:space="preserve"> </w:t>
      </w:r>
      <w:r w:rsidR="00C86307" w:rsidRPr="0009779B">
        <w:t xml:space="preserve">specifieke kennis. De </w:t>
      </w:r>
      <w:r w:rsidR="008323DF">
        <w:t xml:space="preserve">provincie verwacht </w:t>
      </w:r>
      <w:r w:rsidR="00C86307" w:rsidRPr="0009779B">
        <w:t xml:space="preserve">dat </w:t>
      </w:r>
      <w:r w:rsidR="008323DF">
        <w:t xml:space="preserve">Haren </w:t>
      </w:r>
      <w:r w:rsidR="00C86307" w:rsidRPr="0009779B">
        <w:t xml:space="preserve">bij de implementatie </w:t>
      </w:r>
      <w:r>
        <w:t>en</w:t>
      </w:r>
      <w:r w:rsidR="00C86307" w:rsidRPr="0009779B">
        <w:t xml:space="preserve"> uitvoering van de </w:t>
      </w:r>
      <w:r w:rsidR="008323DF">
        <w:t>Omgevings</w:t>
      </w:r>
      <w:r w:rsidR="00C86307" w:rsidRPr="0009779B">
        <w:t xml:space="preserve">wet </w:t>
      </w:r>
      <w:r w:rsidR="008323DF">
        <w:t xml:space="preserve">vaak een </w:t>
      </w:r>
      <w:r w:rsidR="00C86307" w:rsidRPr="0009779B">
        <w:t xml:space="preserve">beroep zal moeten doen op externe expertise en samenwerking met andere organisaties. </w:t>
      </w:r>
    </w:p>
    <w:p w:rsidR="00D845F7" w:rsidRPr="0009779B" w:rsidRDefault="00D845F7" w:rsidP="0009779B"/>
    <w:p w:rsidR="0076227A" w:rsidRPr="0009779B" w:rsidRDefault="0098161A" w:rsidP="0009779B">
      <w:r>
        <w:t>D</w:t>
      </w:r>
      <w:r w:rsidR="00D845F7" w:rsidRPr="0009779B">
        <w:t>e</w:t>
      </w:r>
      <w:r>
        <w:t>ze</w:t>
      </w:r>
      <w:r w:rsidR="008323DF">
        <w:t>lfde</w:t>
      </w:r>
      <w:r>
        <w:t xml:space="preserve"> leden vragen de </w:t>
      </w:r>
      <w:r w:rsidR="00D845F7" w:rsidRPr="0009779B">
        <w:t xml:space="preserve">regering </w:t>
      </w:r>
      <w:r>
        <w:t xml:space="preserve">om </w:t>
      </w:r>
      <w:r w:rsidR="00D845F7" w:rsidRPr="0009779B">
        <w:t xml:space="preserve">verder uit te wijden over de opmerking dat een samenvoeging van de drie gemeenten een bijdrage zal leveren aan evenwichtige regionale verhoudingen. </w:t>
      </w:r>
      <w:r>
        <w:t>De nieuwe gemeente Groningen zal</w:t>
      </w:r>
      <w:r w:rsidR="00911F61" w:rsidRPr="0009779B">
        <w:t xml:space="preserve"> naar </w:t>
      </w:r>
      <w:r w:rsidR="00EE145B">
        <w:t xml:space="preserve">het </w:t>
      </w:r>
      <w:r w:rsidR="00911F61" w:rsidRPr="0009779B">
        <w:t>oordeel van de regering een evenwichtig</w:t>
      </w:r>
      <w:r w:rsidR="008323DF">
        <w:t>e</w:t>
      </w:r>
      <w:r w:rsidR="00911F61" w:rsidRPr="0009779B">
        <w:t xml:space="preserve"> </w:t>
      </w:r>
      <w:r w:rsidR="008323DF">
        <w:t>combinatie vormen</w:t>
      </w:r>
      <w:r w:rsidR="00911F61" w:rsidRPr="0009779B">
        <w:t xml:space="preserve"> van stedelijk en landelijk gebied</w:t>
      </w:r>
      <w:r w:rsidR="008323DF">
        <w:t>,</w:t>
      </w:r>
      <w:r w:rsidR="00911F61" w:rsidRPr="0009779B">
        <w:t xml:space="preserve"> waardoor zij in de regionale samenwerking de samenhangende stedelijke en landelijke opgaven in het gebied beter kan behartigen. Tevens sluit</w:t>
      </w:r>
      <w:r w:rsidR="00EE145B">
        <w:t>en</w:t>
      </w:r>
      <w:r w:rsidR="00911F61" w:rsidRPr="0009779B">
        <w:t xml:space="preserve"> de nieuwe </w:t>
      </w:r>
      <w:r w:rsidR="00911F61" w:rsidRPr="0009779B">
        <w:lastRenderedPageBreak/>
        <w:t>gemeente</w:t>
      </w:r>
      <w:r w:rsidR="00EE145B">
        <w:t>grenzen</w:t>
      </w:r>
      <w:r w:rsidR="00911F61" w:rsidRPr="0009779B">
        <w:t xml:space="preserve"> goed aan bij de maatschappelijke en </w:t>
      </w:r>
      <w:r w:rsidRPr="0009779B">
        <w:t>sociaaleconomische</w:t>
      </w:r>
      <w:r w:rsidR="00911F61" w:rsidRPr="0009779B">
        <w:t xml:space="preserve"> </w:t>
      </w:r>
      <w:r w:rsidR="00691F36" w:rsidRPr="0009779B">
        <w:t>oriëntatie</w:t>
      </w:r>
      <w:r w:rsidR="00911F61" w:rsidRPr="0009779B">
        <w:t xml:space="preserve"> van veel inwoners van Haren en Ten Boer op de stad. </w:t>
      </w:r>
      <w:r w:rsidR="00D845F7" w:rsidRPr="0009779B">
        <w:t xml:space="preserve">De vorming van de nieuwe gemeente Groningen past </w:t>
      </w:r>
      <w:r w:rsidR="00911F61" w:rsidRPr="0009779B">
        <w:t>bovendien</w:t>
      </w:r>
      <w:r w:rsidR="00D845F7" w:rsidRPr="0009779B">
        <w:t xml:space="preserve"> in het bredere gezamenlijke proces van de provincie </w:t>
      </w:r>
      <w:r w:rsidR="00F63650">
        <w:t xml:space="preserve">Groningen </w:t>
      </w:r>
      <w:r w:rsidR="00D845F7" w:rsidRPr="0009779B">
        <w:t xml:space="preserve">en de Groninger gemeenten om te komen tot een duurzame versterking van de bestuurlijke organisatie in de provincie als antwoord op de </w:t>
      </w:r>
      <w:r w:rsidRPr="0009779B">
        <w:t>sociaaleconomische</w:t>
      </w:r>
      <w:r w:rsidR="00D845F7" w:rsidRPr="0009779B">
        <w:t xml:space="preserve"> en maatschappelijke opgaven. </w:t>
      </w:r>
      <w:r w:rsidR="000B2F4D" w:rsidRPr="0009779B">
        <w:t xml:space="preserve">Als voorlopige uitkomst van dit </w:t>
      </w:r>
      <w:r w:rsidR="00EE145B">
        <w:t>provincie</w:t>
      </w:r>
      <w:r w:rsidR="000B2F4D" w:rsidRPr="0009779B">
        <w:t xml:space="preserve">brede proces zijn per 1 januari 2018 de nieuwe gemeenten Midden-Groningen en Westerwolde ontstaan en zijn wetsvoorstellen </w:t>
      </w:r>
      <w:r w:rsidR="00EE145B">
        <w:t xml:space="preserve">ingediend </w:t>
      </w:r>
      <w:r w:rsidR="000B2F4D" w:rsidRPr="0009779B">
        <w:t xml:space="preserve">tot samenvoeging van de gemeenten Bedum, De Marne, Eemsmond en Winsum (34 828) en tot samenvoeging van de gemeenten Grootegast, Leek, Marum en Zuidhorn en een deel van het grondgebied van de gemeente Winsum (34 829). </w:t>
      </w:r>
      <w:r w:rsidR="00EE145B">
        <w:t>D</w:t>
      </w:r>
      <w:r w:rsidR="000B2F4D" w:rsidRPr="0009779B">
        <w:t>e rad</w:t>
      </w:r>
      <w:r w:rsidR="0076227A" w:rsidRPr="0009779B">
        <w:t xml:space="preserve">en </w:t>
      </w:r>
      <w:r w:rsidR="000B2F4D" w:rsidRPr="0009779B">
        <w:t xml:space="preserve">van de gemeenten Delfzijl, Appingedam en Loppersum </w:t>
      </w:r>
      <w:r w:rsidR="00EE145B">
        <w:t xml:space="preserve">hebben </w:t>
      </w:r>
      <w:r w:rsidR="000B2F4D" w:rsidRPr="0009779B">
        <w:t>zich recent uitgesproken voor een herindeling per 1 januari 2021.</w:t>
      </w:r>
      <w:r w:rsidR="00911F61" w:rsidRPr="0009779B">
        <w:t xml:space="preserve"> </w:t>
      </w:r>
    </w:p>
    <w:p w:rsidR="00911F61" w:rsidRPr="0009779B" w:rsidRDefault="00911F61" w:rsidP="0009779B"/>
    <w:p w:rsidR="00911F61" w:rsidRPr="005413BF" w:rsidRDefault="00911F61" w:rsidP="00723149">
      <w:r w:rsidRPr="005413BF">
        <w:t>Ten slott</w:t>
      </w:r>
      <w:r w:rsidR="00BC5A7E" w:rsidRPr="005413BF">
        <w:t>e</w:t>
      </w:r>
      <w:r w:rsidRPr="005413BF">
        <w:t xml:space="preserve"> vragen de leden van de VVD-fractie in hoeverre de duurzaamheid van de gemeente Har</w:t>
      </w:r>
      <w:r w:rsidR="00691F36" w:rsidRPr="005413BF">
        <w:t xml:space="preserve">en is gegarandeerd als Haren </w:t>
      </w:r>
      <w:r w:rsidRPr="005413BF">
        <w:t xml:space="preserve">zelfstandig </w:t>
      </w:r>
      <w:r w:rsidR="00691F36" w:rsidRPr="005413BF">
        <w:t xml:space="preserve">zou </w:t>
      </w:r>
      <w:r w:rsidRPr="005413BF">
        <w:t>blijven, ook in het licht van toekomstige ontwikkelingen in de provincie Groningen.</w:t>
      </w:r>
      <w:r w:rsidR="000D40AC" w:rsidRPr="005413BF">
        <w:t xml:space="preserve"> </w:t>
      </w:r>
      <w:r w:rsidR="00884528" w:rsidRPr="005413BF">
        <w:t>E</w:t>
      </w:r>
      <w:r w:rsidR="007E0E17" w:rsidRPr="005413BF">
        <w:t xml:space="preserve">en </w:t>
      </w:r>
      <w:r w:rsidRPr="005413BF">
        <w:t xml:space="preserve">zelfstandige gemeente Haren </w:t>
      </w:r>
      <w:r w:rsidR="00884528" w:rsidRPr="005413BF">
        <w:t xml:space="preserve">heeft </w:t>
      </w:r>
      <w:r w:rsidR="00097D5B" w:rsidRPr="005413BF">
        <w:t xml:space="preserve">naar het oordeel van de regering </w:t>
      </w:r>
      <w:r w:rsidR="000D40AC" w:rsidRPr="005413BF">
        <w:t xml:space="preserve">mede in het licht van </w:t>
      </w:r>
      <w:r w:rsidR="007E0E17" w:rsidRPr="005413BF">
        <w:t xml:space="preserve">toekomstige </w:t>
      </w:r>
      <w:r w:rsidR="000D40AC" w:rsidRPr="005413BF">
        <w:t xml:space="preserve">regionale ontwikkelingen </w:t>
      </w:r>
      <w:r w:rsidRPr="005413BF">
        <w:t xml:space="preserve">geen duurzame toekomst. </w:t>
      </w:r>
      <w:r w:rsidR="00884528" w:rsidRPr="005413BF">
        <w:t xml:space="preserve">Zoals in § 2 is toegelicht, is het zeer de vraag of de verbeterplannen van het huidige college van Haren voldoende zullen zijn om het hoofd te bieden aan de kwetsbaarheden in de ambtelijke organisatie en financiën van Haren. </w:t>
      </w:r>
      <w:r w:rsidR="007E0E17" w:rsidRPr="005413BF">
        <w:t xml:space="preserve">Alle omliggende gemeenten hebben gekozen voor herindeling, waarmee de komende jaren geen reële mogelijkheden </w:t>
      </w:r>
      <w:r w:rsidR="00884528" w:rsidRPr="005413BF">
        <w:t xml:space="preserve">voor een herindeling </w:t>
      </w:r>
      <w:r w:rsidR="007E0E17" w:rsidRPr="005413BF">
        <w:t>zullen bestaan. Een zelfstandig Haren zou dan ook in sterke mate afhankelijk zijn van samenwerking</w:t>
      </w:r>
      <w:r w:rsidR="00884528" w:rsidRPr="005413BF">
        <w:t xml:space="preserve"> en daarbij </w:t>
      </w:r>
      <w:r w:rsidR="007E0E17" w:rsidRPr="005413BF">
        <w:t xml:space="preserve">gezien haar omvang en de opschaling van de omliggende gemeenten sterk aan invloed </w:t>
      </w:r>
      <w:r w:rsidR="00884528" w:rsidRPr="005413BF">
        <w:t>inboeten</w:t>
      </w:r>
      <w:r w:rsidR="007E0E17" w:rsidRPr="005413BF">
        <w:t xml:space="preserve">. </w:t>
      </w:r>
      <w:r w:rsidR="00691F36" w:rsidRPr="005413BF">
        <w:t>D</w:t>
      </w:r>
      <w:r w:rsidRPr="005413BF">
        <w:t xml:space="preserve">e gemeente Haren </w:t>
      </w:r>
      <w:r w:rsidR="00691F36" w:rsidRPr="005413BF">
        <w:t xml:space="preserve">heeft </w:t>
      </w:r>
      <w:r w:rsidRPr="005413BF">
        <w:t xml:space="preserve">in 2013 </w:t>
      </w:r>
      <w:r w:rsidR="00691F36" w:rsidRPr="005413BF">
        <w:t xml:space="preserve">ook </w:t>
      </w:r>
      <w:r w:rsidRPr="005413BF">
        <w:t xml:space="preserve">zelf geconcludeerd dat </w:t>
      </w:r>
      <w:r w:rsidR="00884528" w:rsidRPr="005413BF">
        <w:t xml:space="preserve">samenwerking </w:t>
      </w:r>
      <w:r w:rsidRPr="005413BF">
        <w:t>lastig</w:t>
      </w:r>
      <w:r w:rsidR="00691F36" w:rsidRPr="005413BF">
        <w:t>er</w:t>
      </w:r>
      <w:r w:rsidRPr="005413BF">
        <w:t xml:space="preserve"> wordt </w:t>
      </w:r>
      <w:r w:rsidR="00691F36" w:rsidRPr="005413BF">
        <w:t xml:space="preserve">doordat </w:t>
      </w:r>
      <w:r w:rsidR="00884528" w:rsidRPr="005413BF">
        <w:t xml:space="preserve">de omliggende </w:t>
      </w:r>
      <w:r w:rsidRPr="005413BF">
        <w:t>gemeenten allemaal kiezen voor herindeling.</w:t>
      </w:r>
      <w:r w:rsidR="005413BF">
        <w:t xml:space="preserve"> </w:t>
      </w:r>
      <w:r w:rsidR="005413BF" w:rsidRPr="005413BF">
        <w:rPr>
          <w:i/>
        </w:rPr>
        <w:t xml:space="preserve"> </w:t>
      </w:r>
      <w:r w:rsidR="005413BF" w:rsidRPr="005413BF">
        <w:t xml:space="preserve">Daarbij is ook relevant dat omliggende gemeenten Haren vanwege regelmatige en soms </w:t>
      </w:r>
      <w:r w:rsidR="005413BF">
        <w:t xml:space="preserve">lastig </w:t>
      </w:r>
      <w:r w:rsidR="005413BF" w:rsidRPr="005413BF">
        <w:t xml:space="preserve">te doorgronden koerswijzigingen </w:t>
      </w:r>
      <w:r w:rsidR="005413BF">
        <w:t xml:space="preserve">in het beleid </w:t>
      </w:r>
      <w:r w:rsidR="005413BF" w:rsidRPr="005413BF">
        <w:t xml:space="preserve">beschouwen als </w:t>
      </w:r>
      <w:r w:rsidR="005413BF">
        <w:t xml:space="preserve">moeilijk </w:t>
      </w:r>
      <w:r w:rsidR="005413BF" w:rsidRPr="005413BF">
        <w:t>om mee samen te werken, zo komt naar voren uit het eerder genoemde rapport van B&amp;A.</w:t>
      </w:r>
    </w:p>
    <w:p w:rsidR="004304E6" w:rsidRPr="005413BF" w:rsidRDefault="004304E6" w:rsidP="0009779B"/>
    <w:p w:rsidR="004304E6" w:rsidRPr="0009779B" w:rsidRDefault="004304E6" w:rsidP="0009779B">
      <w:r w:rsidRPr="005413BF">
        <w:t xml:space="preserve">De leden van de </w:t>
      </w:r>
      <w:r w:rsidRPr="005046C0">
        <w:rPr>
          <w:b/>
        </w:rPr>
        <w:t>CDA</w:t>
      </w:r>
      <w:r w:rsidRPr="005413BF">
        <w:t xml:space="preserve">-fractie </w:t>
      </w:r>
      <w:r w:rsidR="00691F36" w:rsidRPr="005413BF">
        <w:t>vragen of</w:t>
      </w:r>
      <w:r w:rsidRPr="005413BF">
        <w:t xml:space="preserve"> de voorgenomen introductie van nieuwe vormen van participatieve democratie binnen de nieuwe gemeente Groningen een voorwaarde is voor de voorgestelde samenvoeging. </w:t>
      </w:r>
      <w:r w:rsidR="000A69FE" w:rsidRPr="005413BF">
        <w:t>Volgens het Beleidskader gemeentelijke herindeling is de wijze waarop de nieuwe gemeente de inwoners bij het</w:t>
      </w:r>
      <w:r w:rsidR="000A69FE">
        <w:t xml:space="preserve"> bestuur zal betrekken van belang voor de beoordeling van de interne samenhang en het dorps- en kernenbeleid van de nieuwe gemeente. </w:t>
      </w:r>
      <w:r w:rsidR="00CD3A1F">
        <w:t xml:space="preserve">Van de betrokken </w:t>
      </w:r>
      <w:r w:rsidR="00CD3A1F" w:rsidRPr="00CD3A1F">
        <w:t xml:space="preserve">gemeentebesturen </w:t>
      </w:r>
      <w:r w:rsidR="00CD3A1F">
        <w:t xml:space="preserve">wordt </w:t>
      </w:r>
      <w:r w:rsidR="00CD3A1F" w:rsidRPr="00CD3A1F">
        <w:t xml:space="preserve">een visie </w:t>
      </w:r>
      <w:r w:rsidR="00CD3A1F">
        <w:t xml:space="preserve">verwacht </w:t>
      </w:r>
      <w:r w:rsidR="00CD3A1F" w:rsidRPr="00CD3A1F">
        <w:t xml:space="preserve">op </w:t>
      </w:r>
      <w:r w:rsidR="00CD3A1F">
        <w:t xml:space="preserve">de wijze waarop </w:t>
      </w:r>
      <w:r w:rsidR="00CD3A1F" w:rsidRPr="00CD3A1F">
        <w:t xml:space="preserve">burgers, maatschappelijke organisaties en gemeenschappen </w:t>
      </w:r>
      <w:r w:rsidR="00CD3A1F">
        <w:t>betrokken zullen worden bij het bestuur</w:t>
      </w:r>
      <w:r w:rsidR="00CD3A1F" w:rsidRPr="00CD3A1F">
        <w:t xml:space="preserve">. </w:t>
      </w:r>
      <w:r w:rsidR="00CD3A1F">
        <w:t>In dit geval bestaat het voornemen om n</w:t>
      </w:r>
      <w:r w:rsidR="000A69FE">
        <w:t xml:space="preserve">ieuwe </w:t>
      </w:r>
      <w:r w:rsidR="00CD3A1F">
        <w:t xml:space="preserve">vormen van participatieve democratie, </w:t>
      </w:r>
      <w:r w:rsidR="000A69FE">
        <w:t>zoals wijkraden</w:t>
      </w:r>
      <w:r w:rsidR="00CD3A1F">
        <w:t>,</w:t>
      </w:r>
      <w:r w:rsidR="000A69FE">
        <w:t xml:space="preserve"> </w:t>
      </w:r>
      <w:r w:rsidR="00CD3A1F">
        <w:t>te introduceren</w:t>
      </w:r>
      <w:r w:rsidR="000A69FE">
        <w:t>.</w:t>
      </w:r>
      <w:r w:rsidR="00CD3A1F" w:rsidRPr="0009779B">
        <w:t xml:space="preserve"> </w:t>
      </w:r>
    </w:p>
    <w:p w:rsidR="004304E6" w:rsidRPr="0009779B" w:rsidRDefault="004304E6" w:rsidP="0009779B"/>
    <w:p w:rsidR="0006526B" w:rsidRPr="0009779B" w:rsidRDefault="004304E6" w:rsidP="0009779B">
      <w:r w:rsidRPr="0009779B">
        <w:t>De</w:t>
      </w:r>
      <w:r w:rsidR="00691F36">
        <w:t>ze</w:t>
      </w:r>
      <w:r w:rsidRPr="0009779B">
        <w:t xml:space="preserve"> leden vragen </w:t>
      </w:r>
      <w:r w:rsidR="00691F36">
        <w:t xml:space="preserve">voorts </w:t>
      </w:r>
      <w:r w:rsidRPr="0009779B">
        <w:t xml:space="preserve">om een nadere onderbouwing van de formulering dat voorkomen moet worden dat één gemeente feitelijk een veto kan uitspreken over een herindeling </w:t>
      </w:r>
      <w:r w:rsidR="0014316A" w:rsidRPr="0014316A">
        <w:t>die een positieve bijdrage levert aan de regionale bestuurskracht of de regionale bestuurlijke verhoudingen</w:t>
      </w:r>
      <w:r w:rsidR="0014316A">
        <w:t xml:space="preserve"> en waarom</w:t>
      </w:r>
      <w:r w:rsidR="0014316A" w:rsidRPr="0014316A">
        <w:t xml:space="preserve"> het besluit van Haren om niet in te stemmen met de voorgestelde samenvoeging, de samenvoeging van Groningen en Ten Boer onmogelijk maakt.</w:t>
      </w:r>
      <w:r w:rsidR="003F1306">
        <w:t xml:space="preserve"> Met de </w:t>
      </w:r>
      <w:r w:rsidR="0014316A">
        <w:t xml:space="preserve">aangehaalde </w:t>
      </w:r>
      <w:r w:rsidR="003F1306">
        <w:t xml:space="preserve">formulering </w:t>
      </w:r>
      <w:r w:rsidR="0014316A">
        <w:t xml:space="preserve">wordt gedoeld </w:t>
      </w:r>
      <w:r w:rsidR="003F1306">
        <w:t xml:space="preserve">op een </w:t>
      </w:r>
      <w:r w:rsidR="0014316A">
        <w:t>‘</w:t>
      </w:r>
      <w:r w:rsidR="003F1306">
        <w:t>veto</w:t>
      </w:r>
      <w:r w:rsidR="0014316A">
        <w:t>’</w:t>
      </w:r>
      <w:r w:rsidR="003F1306">
        <w:t xml:space="preserve"> over </w:t>
      </w:r>
      <w:r w:rsidR="0014316A">
        <w:t xml:space="preserve">de voorgestelde herindeling, waarvan de gemeente Haren deel uitmaakt. Zoals hiervoor uiteen is gezet, acht de regering het in het belang van </w:t>
      </w:r>
      <w:r w:rsidR="00BD5317" w:rsidRPr="0009779B">
        <w:t xml:space="preserve">de bestuurskracht en de verhoudingen </w:t>
      </w:r>
      <w:r w:rsidR="0014316A">
        <w:t>in de regio noodzakelijk dat Haren bij deze herindeling</w:t>
      </w:r>
      <w:r w:rsidR="0014316A" w:rsidRPr="0014316A">
        <w:t xml:space="preserve"> </w:t>
      </w:r>
      <w:r w:rsidR="0014316A">
        <w:t>betrokken is</w:t>
      </w:r>
      <w:r w:rsidR="00BD5317" w:rsidRPr="0009779B">
        <w:t>.</w:t>
      </w:r>
    </w:p>
    <w:p w:rsidR="0006526B" w:rsidRPr="0009779B" w:rsidRDefault="0006526B" w:rsidP="0009779B"/>
    <w:p w:rsidR="003359F7" w:rsidRPr="0009779B" w:rsidRDefault="0006526B" w:rsidP="0009779B">
      <w:r w:rsidRPr="0009779B">
        <w:t xml:space="preserve">De leden van de </w:t>
      </w:r>
      <w:r w:rsidRPr="005046C0">
        <w:rPr>
          <w:b/>
        </w:rPr>
        <w:t>D66</w:t>
      </w:r>
      <w:r w:rsidRPr="0009779B">
        <w:t>-fractie</w:t>
      </w:r>
      <w:r w:rsidR="00C62F89" w:rsidRPr="0009779B">
        <w:t xml:space="preserve"> </w:t>
      </w:r>
      <w:r w:rsidR="00A742E2" w:rsidRPr="0009779B">
        <w:t xml:space="preserve">vragen of er </w:t>
      </w:r>
      <w:r w:rsidR="003A46A1" w:rsidRPr="0009779B">
        <w:t xml:space="preserve">garanties zijn voor het </w:t>
      </w:r>
      <w:r w:rsidR="00A742E2" w:rsidRPr="0009779B">
        <w:t>voortbestaan van faciliteiten en diensten in met name de gemeente Haren</w:t>
      </w:r>
      <w:r w:rsidR="0014316A">
        <w:t xml:space="preserve">, waaronder </w:t>
      </w:r>
      <w:r w:rsidR="003A46A1" w:rsidRPr="0009779B">
        <w:t>het onderwijsaanbod en de werkgelegenheid</w:t>
      </w:r>
      <w:r w:rsidR="00D17D40">
        <w:t>.</w:t>
      </w:r>
      <w:r w:rsidR="003A46A1" w:rsidRPr="0009779B">
        <w:t xml:space="preserve"> </w:t>
      </w:r>
      <w:r w:rsidR="00030246" w:rsidRPr="0009779B">
        <w:t xml:space="preserve">Ook de leden van de </w:t>
      </w:r>
      <w:r w:rsidR="00030246" w:rsidRPr="005046C0">
        <w:rPr>
          <w:b/>
        </w:rPr>
        <w:t>GroenLinks</w:t>
      </w:r>
      <w:r w:rsidR="00030246" w:rsidRPr="0009779B">
        <w:t>-fractie</w:t>
      </w:r>
      <w:r w:rsidR="00C36EDD">
        <w:t xml:space="preserve"> </w:t>
      </w:r>
      <w:r w:rsidR="00030246" w:rsidRPr="0009779B">
        <w:t xml:space="preserve">vragen de regering in te gaan op </w:t>
      </w:r>
      <w:r w:rsidR="003359F7" w:rsidRPr="0009779B">
        <w:t xml:space="preserve">toegankelijkheid van voorzieningen en het behoud van het karakter van de dorpskernen. </w:t>
      </w:r>
      <w:r w:rsidR="00D17D40">
        <w:t xml:space="preserve">Over deze onderwerpen zijn afspraken gemaakt </w:t>
      </w:r>
      <w:r w:rsidR="00D17D40">
        <w:lastRenderedPageBreak/>
        <w:t>i</w:t>
      </w:r>
      <w:r w:rsidR="003A46A1" w:rsidRPr="0009779B">
        <w:t xml:space="preserve">n </w:t>
      </w:r>
      <w:r w:rsidR="00D17D40" w:rsidRPr="00C96296">
        <w:t xml:space="preserve">de </w:t>
      </w:r>
      <w:r w:rsidR="00D17D40">
        <w:t xml:space="preserve">tussen Groningen en Ten Boer gesloten </w:t>
      </w:r>
      <w:r w:rsidR="00D17D40" w:rsidRPr="00C96296">
        <w:t>bestuursovereenkomst</w:t>
      </w:r>
      <w:r w:rsidR="00D17D40">
        <w:t>,</w:t>
      </w:r>
      <w:r w:rsidR="00D17D40" w:rsidRPr="00C96296">
        <w:t xml:space="preserve"> waarbij </w:t>
      </w:r>
      <w:r w:rsidR="00D17D40" w:rsidRPr="005413BF">
        <w:t>verbindingspersoon Marga Kool de belangen van Haren vertegenwoordigde</w:t>
      </w:r>
      <w:r w:rsidR="003A46A1" w:rsidRPr="005413BF">
        <w:t xml:space="preserve">. </w:t>
      </w:r>
      <w:r w:rsidR="0039494D" w:rsidRPr="005413BF">
        <w:t>Er is a</w:t>
      </w:r>
      <w:r w:rsidR="00BC21E8" w:rsidRPr="005413BF">
        <w:t xml:space="preserve">fgesproken dat de nieuwe gemeente de instandhouding van de huidige kenmerken, kwaliteiten en waarden van de verschillende dorpen, wijken en kernen bevordert, waarbij bestaande onderhoudsnormen, inzet voor veiligheid en toegankelijkheid van voorzieningen waar nodig worden verbeterd. </w:t>
      </w:r>
      <w:r w:rsidR="003A46A1" w:rsidRPr="005413BF">
        <w:t xml:space="preserve">De bestuursovereenkomst bevat </w:t>
      </w:r>
      <w:r w:rsidR="00BC21E8" w:rsidRPr="005413BF">
        <w:t xml:space="preserve">verder een aantal concrete </w:t>
      </w:r>
      <w:r w:rsidR="003A46A1" w:rsidRPr="005413BF">
        <w:t xml:space="preserve">maatregelen op het gebied van </w:t>
      </w:r>
      <w:r w:rsidR="00792192" w:rsidRPr="005413BF">
        <w:t xml:space="preserve">onder meer </w:t>
      </w:r>
      <w:r w:rsidR="003A46A1" w:rsidRPr="005413BF">
        <w:t xml:space="preserve">bestuurlijke nabijheid, </w:t>
      </w:r>
      <w:r w:rsidR="00792192" w:rsidRPr="005413BF">
        <w:t xml:space="preserve">dienstverlening, </w:t>
      </w:r>
      <w:r w:rsidR="003A46A1" w:rsidRPr="005413BF">
        <w:t>voorzieningen en ruimtelijke ontwikkeling</w:t>
      </w:r>
      <w:r w:rsidR="00BC21E8" w:rsidRPr="005413BF">
        <w:t>, waaronder het behoud van concreet genoemde sportvoorzieningen</w:t>
      </w:r>
      <w:r w:rsidR="003A46A1" w:rsidRPr="005413BF">
        <w:t xml:space="preserve">. </w:t>
      </w:r>
      <w:r w:rsidR="00D17D40" w:rsidRPr="005413BF">
        <w:t xml:space="preserve">Wat betreft het behoud van groengebieden in de toekomstige gemeente, waar de leden van beide fracties naar vragen, </w:t>
      </w:r>
      <w:r w:rsidR="003359F7" w:rsidRPr="005413BF">
        <w:t xml:space="preserve">is </w:t>
      </w:r>
      <w:r w:rsidR="00792192" w:rsidRPr="005413BF">
        <w:t xml:space="preserve">in de bestuursovereenkomst </w:t>
      </w:r>
      <w:r w:rsidR="003359F7" w:rsidRPr="005413BF">
        <w:t>opgenomen dat in het overgangsgebied tussen Groningen en de dorpen van Haren en Ten Boer ten</w:t>
      </w:r>
      <w:r w:rsidR="00AC5EDF" w:rsidRPr="005413BF">
        <w:t xml:space="preserve"> </w:t>
      </w:r>
      <w:r w:rsidR="003359F7" w:rsidRPr="005413BF">
        <w:t>minste tot 2040 niet wordt gebouwd</w:t>
      </w:r>
      <w:r w:rsidR="00D17D40" w:rsidRPr="005413BF">
        <w:t xml:space="preserve">. Dit </w:t>
      </w:r>
      <w:r w:rsidR="003359F7" w:rsidRPr="005413BF">
        <w:t xml:space="preserve">geldt </w:t>
      </w:r>
      <w:r w:rsidR="00D17D40" w:rsidRPr="005413BF">
        <w:t xml:space="preserve">ook </w:t>
      </w:r>
      <w:r w:rsidR="003359F7" w:rsidRPr="005413BF">
        <w:t>voor de groene long tussen Groningen en Haren.</w:t>
      </w:r>
      <w:r w:rsidR="003359F7" w:rsidRPr="0009779B">
        <w:t xml:space="preserve"> </w:t>
      </w:r>
    </w:p>
    <w:p w:rsidR="003359F7" w:rsidRPr="0009779B" w:rsidRDefault="003359F7" w:rsidP="0009779B"/>
    <w:p w:rsidR="00BC5A7E" w:rsidRPr="0009779B" w:rsidRDefault="00BC5A7E" w:rsidP="0009779B">
      <w:r w:rsidRPr="0009779B">
        <w:t xml:space="preserve">De leden van de </w:t>
      </w:r>
      <w:r w:rsidRPr="005046C0">
        <w:rPr>
          <w:b/>
        </w:rPr>
        <w:t>D66</w:t>
      </w:r>
      <w:r w:rsidRPr="0009779B">
        <w:t xml:space="preserve">-fractie vragen of de regering kan beamen dat met de </w:t>
      </w:r>
      <w:r w:rsidR="00792192">
        <w:t xml:space="preserve">herindeling </w:t>
      </w:r>
      <w:r w:rsidRPr="0009779B">
        <w:t>diverse gemeenschappelijke regelingen kom</w:t>
      </w:r>
      <w:r w:rsidR="00AC5EDF">
        <w:t>en</w:t>
      </w:r>
      <w:r w:rsidRPr="0009779B">
        <w:t xml:space="preserve"> te vervallen, hoeveel dit er zijn en wat hun onderlinge samenhang is.</w:t>
      </w:r>
      <w:r w:rsidR="00792192">
        <w:t xml:space="preserve"> </w:t>
      </w:r>
      <w:r w:rsidRPr="0009779B">
        <w:t xml:space="preserve">In </w:t>
      </w:r>
      <w:r w:rsidR="00825169">
        <w:t xml:space="preserve">de </w:t>
      </w:r>
      <w:r w:rsidRPr="0009779B">
        <w:t xml:space="preserve">bijlage bij deze nota </w:t>
      </w:r>
      <w:r w:rsidR="00792192">
        <w:t xml:space="preserve">is </w:t>
      </w:r>
      <w:r w:rsidRPr="0009779B">
        <w:t xml:space="preserve">een overzicht opgenomen van alle gemeenschappelijke samenwerkingsverbanden waarin de gemeenten Groningen, Haren en Ten Boer participeren. Uit het overzicht blijkt dat </w:t>
      </w:r>
      <w:r w:rsidR="00616A2F" w:rsidRPr="0009779B">
        <w:t>in elk geval alle</w:t>
      </w:r>
      <w:r w:rsidR="00321639" w:rsidRPr="0009779B">
        <w:t xml:space="preserve"> specifieke privaatrechtelijke samenwerkingsverband</w:t>
      </w:r>
      <w:r w:rsidR="00616A2F" w:rsidRPr="0009779B">
        <w:t>en van de gemeente</w:t>
      </w:r>
      <w:r w:rsidR="00321639" w:rsidRPr="0009779B">
        <w:t xml:space="preserve"> Ten </w:t>
      </w:r>
      <w:r w:rsidR="00792192">
        <w:t>B</w:t>
      </w:r>
      <w:r w:rsidR="00321639" w:rsidRPr="0009779B">
        <w:t>oer</w:t>
      </w:r>
      <w:r w:rsidR="00616A2F" w:rsidRPr="0009779B">
        <w:t xml:space="preserve"> </w:t>
      </w:r>
      <w:r w:rsidR="00792192">
        <w:t xml:space="preserve">zullen </w:t>
      </w:r>
      <w:r w:rsidR="00321639" w:rsidRPr="0009779B">
        <w:t xml:space="preserve">vervallen. </w:t>
      </w:r>
      <w:r w:rsidR="005E50FF" w:rsidRPr="0009779B">
        <w:t xml:space="preserve">Daarnaast zal de nieuwe gemeente Groningen de enige gemeentelijke deelnemer zijn in het cluster Waterketen Gamerwolde. </w:t>
      </w:r>
      <w:r w:rsidR="00321639" w:rsidRPr="0009779B">
        <w:t xml:space="preserve">Verder zijn er geen </w:t>
      </w:r>
      <w:r w:rsidRPr="0009779B">
        <w:t>gemeenscha</w:t>
      </w:r>
      <w:r w:rsidR="00321639" w:rsidRPr="0009779B">
        <w:t xml:space="preserve">ppelijke regelingen waaraan uitsluitend de gemeenten Groningen, Haren en Ten Boer deelnemen, maar altijd ook één of meer andere gemeenten. </w:t>
      </w:r>
      <w:r w:rsidR="00B20FA4" w:rsidRPr="0009779B">
        <w:t>Met de voorgenomen vorming van de gemeenten Het Hogeland (</w:t>
      </w:r>
      <w:r w:rsidR="00AC5EDF">
        <w:t>Kamerstukken 34</w:t>
      </w:r>
      <w:r w:rsidR="003919C4">
        <w:t xml:space="preserve"> </w:t>
      </w:r>
      <w:r w:rsidR="00AC5EDF">
        <w:t>828</w:t>
      </w:r>
      <w:r w:rsidR="00B20FA4" w:rsidRPr="0009779B">
        <w:t xml:space="preserve">) </w:t>
      </w:r>
      <w:r w:rsidR="00AC5EDF">
        <w:t xml:space="preserve">en </w:t>
      </w:r>
      <w:r w:rsidR="00AC5EDF" w:rsidRPr="0009779B">
        <w:t>Westerkwartier (</w:t>
      </w:r>
      <w:r w:rsidR="00AC5EDF">
        <w:t>Kamerstukken 34</w:t>
      </w:r>
      <w:r w:rsidR="003919C4">
        <w:t xml:space="preserve"> </w:t>
      </w:r>
      <w:r w:rsidR="00AC5EDF">
        <w:t>829</w:t>
      </w:r>
      <w:r w:rsidR="00AC5EDF" w:rsidRPr="0009779B">
        <w:t>)</w:t>
      </w:r>
      <w:r w:rsidR="00AC5EDF">
        <w:t xml:space="preserve"> </w:t>
      </w:r>
      <w:r w:rsidR="00B20FA4" w:rsidRPr="0009779B">
        <w:t xml:space="preserve">zal </w:t>
      </w:r>
      <w:r w:rsidR="00AC5EDF">
        <w:t>bij</w:t>
      </w:r>
      <w:r w:rsidR="00B20FA4" w:rsidRPr="0009779B">
        <w:t xml:space="preserve"> </w:t>
      </w:r>
      <w:r w:rsidR="000B1F5E" w:rsidRPr="0009779B">
        <w:t xml:space="preserve">alle samenwerkingsverbanden </w:t>
      </w:r>
      <w:r w:rsidR="00AC5EDF">
        <w:t xml:space="preserve">sprake zijn van een daling van </w:t>
      </w:r>
      <w:r w:rsidR="0043356B" w:rsidRPr="0009779B">
        <w:t>het aantal deelnemers.</w:t>
      </w:r>
    </w:p>
    <w:p w:rsidR="005E50FF" w:rsidRPr="0009779B" w:rsidRDefault="005E50FF" w:rsidP="0009779B"/>
    <w:p w:rsidR="005E50FF" w:rsidRPr="005413BF" w:rsidRDefault="005E50FF" w:rsidP="0009779B">
      <w:pPr>
        <w:rPr>
          <w:b/>
        </w:rPr>
      </w:pPr>
      <w:r w:rsidRPr="0009779B">
        <w:t>De</w:t>
      </w:r>
      <w:r w:rsidR="005046C0">
        <w:t>ze</w:t>
      </w:r>
      <w:r w:rsidRPr="0009779B">
        <w:t xml:space="preserve"> leden vragen </w:t>
      </w:r>
      <w:r w:rsidR="005046C0">
        <w:t xml:space="preserve">voorts </w:t>
      </w:r>
      <w:r w:rsidRPr="0009779B">
        <w:t>hoe de regering zal waarborgen dat de inwoners van Haren rust, saamhorigheid en toekomstgerichtheid ervaren</w:t>
      </w:r>
      <w:r w:rsidR="00825169">
        <w:t xml:space="preserve"> </w:t>
      </w:r>
      <w:r w:rsidRPr="0009779B">
        <w:t>indien dit wetsvoorstel wordt aangenomen.</w:t>
      </w:r>
      <w:r w:rsidR="00030246" w:rsidRPr="0009779B">
        <w:t xml:space="preserve"> De leden van de </w:t>
      </w:r>
      <w:r w:rsidR="00030246" w:rsidRPr="005046C0">
        <w:rPr>
          <w:b/>
        </w:rPr>
        <w:t>GroenLinks</w:t>
      </w:r>
      <w:r w:rsidR="00030246" w:rsidRPr="0009779B">
        <w:t xml:space="preserve">-fractie vragen </w:t>
      </w:r>
      <w:r w:rsidR="00825169">
        <w:t xml:space="preserve">naar </w:t>
      </w:r>
      <w:r w:rsidR="00030246" w:rsidRPr="0009779B">
        <w:t xml:space="preserve">waarborgen </w:t>
      </w:r>
      <w:r w:rsidR="00825169">
        <w:t xml:space="preserve">voor </w:t>
      </w:r>
      <w:r w:rsidR="00825169" w:rsidRPr="005413BF">
        <w:t xml:space="preserve">de informatievoorziening aan de inwoners van </w:t>
      </w:r>
      <w:r w:rsidR="00030246" w:rsidRPr="005413BF">
        <w:t xml:space="preserve">de huidige gemeenten Haren </w:t>
      </w:r>
      <w:r w:rsidR="00825169" w:rsidRPr="005413BF">
        <w:t>en Ten Boer en voor</w:t>
      </w:r>
      <w:r w:rsidR="00CB7F63" w:rsidRPr="005413BF">
        <w:t xml:space="preserve"> de</w:t>
      </w:r>
      <w:r w:rsidR="00825169" w:rsidRPr="005413BF">
        <w:t xml:space="preserve"> betrokkenheid van deze inwoners bij het bestuur van de nieuwe gemeente</w:t>
      </w:r>
      <w:r w:rsidR="00030246" w:rsidRPr="005413BF">
        <w:t>.</w:t>
      </w:r>
      <w:r w:rsidR="00CB7F63" w:rsidRPr="005413BF">
        <w:t xml:space="preserve"> </w:t>
      </w:r>
      <w:r w:rsidR="00332B1B" w:rsidRPr="005413BF">
        <w:t>Uit</w:t>
      </w:r>
      <w:r w:rsidR="00CC7225" w:rsidRPr="005413BF">
        <w:t xml:space="preserve"> de </w:t>
      </w:r>
      <w:r w:rsidR="00CB7F63" w:rsidRPr="005413BF">
        <w:t xml:space="preserve">genoemde bestuursovereenkomst </w:t>
      </w:r>
      <w:r w:rsidR="00BC21E8" w:rsidRPr="005413BF">
        <w:t xml:space="preserve">blijkt dat </w:t>
      </w:r>
      <w:r w:rsidR="00332B1B" w:rsidRPr="005413BF">
        <w:t xml:space="preserve">erop wordt ingezet de nieuwe gemeente voor </w:t>
      </w:r>
      <w:r w:rsidR="002F6529" w:rsidRPr="005413BF">
        <w:t xml:space="preserve">alle inwoners en maatschappelijke organisaties een thuis te laten zijn. </w:t>
      </w:r>
      <w:r w:rsidR="00CB7F63" w:rsidRPr="005413BF">
        <w:t xml:space="preserve">Afgesproken is onder meer </w:t>
      </w:r>
      <w:r w:rsidR="002F6529" w:rsidRPr="005413BF">
        <w:t>dat de nieuwe gemeente het behoud van de specifieke identiteit van dorpen en kernen vooropstelt</w:t>
      </w:r>
      <w:r w:rsidR="00332B1B" w:rsidRPr="005413BF">
        <w:t xml:space="preserve"> en inzet op nabijheid van bestuur en politiek</w:t>
      </w:r>
      <w:r w:rsidR="002F6529" w:rsidRPr="005413BF">
        <w:t xml:space="preserve">. </w:t>
      </w:r>
      <w:r w:rsidR="00332B1B" w:rsidRPr="005413BF">
        <w:t>Ter bevordering van transparante besluitvorming en participatie van de inwoners zal geëxperimenteerd worden met</w:t>
      </w:r>
      <w:r w:rsidR="00CB7F63" w:rsidRPr="005413BF">
        <w:t xml:space="preserve"> nieuwe vormen van participatieve democratie</w:t>
      </w:r>
      <w:r w:rsidR="00332B1B" w:rsidRPr="005413BF">
        <w:t>, waaronder dorps- en wijkwethouders en een coördinerend wethouder voor het plattelandsbeleid</w:t>
      </w:r>
      <w:r w:rsidR="00CB7F63" w:rsidRPr="005413BF">
        <w:t>.</w:t>
      </w:r>
    </w:p>
    <w:p w:rsidR="00030246" w:rsidRPr="005413BF" w:rsidRDefault="00030246" w:rsidP="0009779B"/>
    <w:p w:rsidR="00030246" w:rsidRPr="005413BF" w:rsidRDefault="003359F7" w:rsidP="0009779B">
      <w:r w:rsidRPr="005413BF">
        <w:t xml:space="preserve">De leden van de </w:t>
      </w:r>
      <w:r w:rsidRPr="005046C0">
        <w:rPr>
          <w:b/>
        </w:rPr>
        <w:t>ChristenUnie</w:t>
      </w:r>
      <w:r w:rsidRPr="005413BF">
        <w:t>-fractie</w:t>
      </w:r>
      <w:r w:rsidR="00374D6F" w:rsidRPr="005413BF">
        <w:t xml:space="preserve"> vragen de regering nader toe te lichten welke risico’s verbonden zijn </w:t>
      </w:r>
      <w:r w:rsidR="00AC5EDF" w:rsidRPr="005413BF">
        <w:t xml:space="preserve">aan het niet doorgaan van </w:t>
      </w:r>
      <w:r w:rsidR="00374D6F" w:rsidRPr="005413BF">
        <w:t xml:space="preserve">deze herindeling. </w:t>
      </w:r>
      <w:r w:rsidR="001944AC" w:rsidRPr="005413BF">
        <w:t xml:space="preserve">Het risico bestaat dat het niet doorgaan van deze herindeling </w:t>
      </w:r>
      <w:r w:rsidR="009B0731">
        <w:t>negatieve effecten</w:t>
      </w:r>
      <w:r w:rsidR="00374D6F" w:rsidRPr="005413BF">
        <w:t xml:space="preserve"> </w:t>
      </w:r>
      <w:r w:rsidR="001944AC" w:rsidRPr="005413BF">
        <w:t xml:space="preserve">zal hebben </w:t>
      </w:r>
      <w:r w:rsidR="00374D6F" w:rsidRPr="005413BF">
        <w:t xml:space="preserve">op </w:t>
      </w:r>
      <w:r w:rsidR="001944AC" w:rsidRPr="005413BF">
        <w:t xml:space="preserve">het gezamenlijke proces van de Groninger gemeenten </w:t>
      </w:r>
      <w:r w:rsidR="009B0731">
        <w:t xml:space="preserve">en de provincie </w:t>
      </w:r>
      <w:r w:rsidR="001944AC" w:rsidRPr="005413BF">
        <w:t>om te komen tot een duurzame versterking van de bestuurlijke organisatie in de provincie</w:t>
      </w:r>
      <w:r w:rsidR="00374D6F" w:rsidRPr="005413BF">
        <w:t xml:space="preserve">. </w:t>
      </w:r>
      <w:r w:rsidR="001944AC" w:rsidRPr="005413BF">
        <w:t xml:space="preserve">In ieder geval wordt dan op korte termijn geen duurzame oplossing getroffen voor de kwetsbaarheden in de bestuurskracht en financiën van de gemeenten Haren en Ten Boer. </w:t>
      </w:r>
    </w:p>
    <w:p w:rsidR="00374D6F" w:rsidRPr="005413BF" w:rsidRDefault="00374D6F" w:rsidP="0009779B"/>
    <w:p w:rsidR="00374D6F" w:rsidRPr="0009779B" w:rsidRDefault="00374D6F" w:rsidP="0009779B">
      <w:r w:rsidRPr="005413BF">
        <w:t>De</w:t>
      </w:r>
      <w:r w:rsidR="00AC5EDF" w:rsidRPr="005413BF">
        <w:t>ze</w:t>
      </w:r>
      <w:r w:rsidRPr="005413BF">
        <w:t xml:space="preserve"> leden </w:t>
      </w:r>
      <w:r w:rsidR="00AC5EDF" w:rsidRPr="005413BF">
        <w:t xml:space="preserve">vragen voorts </w:t>
      </w:r>
      <w:r w:rsidRPr="005413BF">
        <w:t>op welke wijze de regering vervolg zal geven aan het</w:t>
      </w:r>
      <w:r w:rsidRPr="0009779B">
        <w:t xml:space="preserve"> voornemen tot aanpassing van het </w:t>
      </w:r>
      <w:r w:rsidR="00AC5EDF">
        <w:t>B</w:t>
      </w:r>
      <w:r w:rsidRPr="0009779B">
        <w:t>eleidskader gemeentelijke herindeling</w:t>
      </w:r>
      <w:r w:rsidR="00AC5EDF">
        <w:t>,</w:t>
      </w:r>
      <w:r w:rsidRPr="0009779B">
        <w:t xml:space="preserve"> waarbij een wijziging is voorzien in het overeenstemmingscriterium bij toepassing van de variant van de lichte samenvoeging. </w:t>
      </w:r>
      <w:r w:rsidR="00052DBD" w:rsidRPr="0009779B">
        <w:t>De regering is voornemens om het beleidskader aan te passen</w:t>
      </w:r>
      <w:r w:rsidR="00AC5EDF">
        <w:t xml:space="preserve"> en daarbij de aanvulling op het beleidskader over toepassing van de </w:t>
      </w:r>
      <w:r w:rsidR="00AC5EDF">
        <w:lastRenderedPageBreak/>
        <w:t>herindelingsvariant lichte samenvoeging</w:t>
      </w:r>
      <w:r w:rsidR="00AC5EDF">
        <w:rPr>
          <w:rStyle w:val="Voetnootmarkering"/>
        </w:rPr>
        <w:footnoteReference w:id="7"/>
      </w:r>
      <w:r w:rsidR="00AC5EDF">
        <w:t xml:space="preserve"> in het beleidskader op te nemen</w:t>
      </w:r>
      <w:r w:rsidR="00052DBD" w:rsidRPr="0009779B">
        <w:t>. In het proces om te komen tot een herzien beleidskader wordt gesproken met vertegenwoordigers van gemeenten</w:t>
      </w:r>
      <w:r w:rsidR="001944AC">
        <w:t>,</w:t>
      </w:r>
      <w:r w:rsidR="00052DBD" w:rsidRPr="0009779B">
        <w:t xml:space="preserve"> provincies </w:t>
      </w:r>
      <w:r w:rsidR="00AC5EDF">
        <w:t xml:space="preserve">de </w:t>
      </w:r>
      <w:r w:rsidR="00052DBD" w:rsidRPr="0009779B">
        <w:t xml:space="preserve">VNG en </w:t>
      </w:r>
      <w:r w:rsidR="00AC5EDF">
        <w:t xml:space="preserve">het </w:t>
      </w:r>
      <w:r w:rsidR="00052DBD" w:rsidRPr="0009779B">
        <w:t xml:space="preserve">IPO. </w:t>
      </w:r>
      <w:r w:rsidR="00AC5EDF">
        <w:t xml:space="preserve">Ik streef ernaar </w:t>
      </w:r>
      <w:r w:rsidR="00052DBD" w:rsidRPr="0009779B">
        <w:t xml:space="preserve">de Kamer </w:t>
      </w:r>
      <w:r w:rsidR="00BF3C84">
        <w:t>rond</w:t>
      </w:r>
      <w:r w:rsidR="00052DBD" w:rsidRPr="0009779B">
        <w:t xml:space="preserve"> de zomer te informeren over de inhoud van het herziene beleidskader.</w:t>
      </w:r>
    </w:p>
    <w:p w:rsidR="00052DBD" w:rsidRPr="0009779B" w:rsidRDefault="00052DBD" w:rsidP="0009779B"/>
    <w:p w:rsidR="00052DBD" w:rsidRPr="0009779B" w:rsidRDefault="00052DBD" w:rsidP="0009779B"/>
    <w:p w:rsidR="00052DBD" w:rsidRPr="0009779B" w:rsidRDefault="00052DBD" w:rsidP="0009779B">
      <w:pPr>
        <w:pStyle w:val="Kop1"/>
      </w:pPr>
      <w:r w:rsidRPr="0009779B">
        <w:t>4. Financiële aspecten</w:t>
      </w:r>
    </w:p>
    <w:p w:rsidR="00052DBD" w:rsidRPr="0009779B" w:rsidRDefault="00052DBD" w:rsidP="0009779B"/>
    <w:p w:rsidR="00363717" w:rsidRDefault="00456F95" w:rsidP="0009779B">
      <w:r w:rsidRPr="0009779B">
        <w:t xml:space="preserve">De leden van de </w:t>
      </w:r>
      <w:r w:rsidRPr="005046C0">
        <w:rPr>
          <w:b/>
        </w:rPr>
        <w:t>VVD</w:t>
      </w:r>
      <w:r w:rsidRPr="0009779B">
        <w:t>-fractie</w:t>
      </w:r>
      <w:r w:rsidR="00363717">
        <w:t xml:space="preserve"> vragen naar de verhouding tussen het feit </w:t>
      </w:r>
      <w:r w:rsidRPr="0009779B">
        <w:t xml:space="preserve">dat Haren enerzijds een sluitende begroting heeft, maar anderzijds </w:t>
      </w:r>
      <w:r w:rsidR="00363717">
        <w:t>g</w:t>
      </w:r>
      <w:r w:rsidRPr="0009779B">
        <w:t xml:space="preserve">een sterke financiële positie heeft. </w:t>
      </w:r>
      <w:r w:rsidR="00CC5368" w:rsidRPr="0009779B">
        <w:t xml:space="preserve">Het feit dat de gemeente Haren voor het begrotingsjaar 2018 een sluitende begroting </w:t>
      </w:r>
      <w:r w:rsidR="0039494D">
        <w:t>heeft</w:t>
      </w:r>
      <w:r w:rsidR="00940759">
        <w:t>,</w:t>
      </w:r>
      <w:r w:rsidR="00CC5368" w:rsidRPr="0009779B">
        <w:t xml:space="preserve"> betekent dat het saldo van de door deze gemeente geprogno</w:t>
      </w:r>
      <w:r w:rsidR="00443438" w:rsidRPr="0009779B">
        <w:t>s</w:t>
      </w:r>
      <w:r w:rsidR="00CC5368" w:rsidRPr="0009779B">
        <w:t>t</w:t>
      </w:r>
      <w:r w:rsidR="00443438" w:rsidRPr="0009779B">
        <w:t xml:space="preserve">iceerde baten en lasten </w:t>
      </w:r>
      <w:r w:rsidR="00940759">
        <w:t xml:space="preserve">voor 2018 </w:t>
      </w:r>
      <w:r w:rsidR="00443438" w:rsidRPr="0009779B">
        <w:t xml:space="preserve">positief is. </w:t>
      </w:r>
      <w:r w:rsidR="00935992" w:rsidRPr="00935992">
        <w:t xml:space="preserve">Een </w:t>
      </w:r>
      <w:r w:rsidR="00297C22">
        <w:t>sluitende begroting</w:t>
      </w:r>
      <w:r w:rsidR="00935992" w:rsidRPr="00935992">
        <w:t xml:space="preserve"> biedt op zich</w:t>
      </w:r>
      <w:r w:rsidR="00DB047E">
        <w:t>zelf</w:t>
      </w:r>
      <w:r w:rsidR="00935992" w:rsidRPr="00935992">
        <w:t xml:space="preserve"> geen garantie dat de door de gemeente beoogde bezuinigingen gerealiseerd </w:t>
      </w:r>
      <w:r w:rsidR="00DB047E">
        <w:t xml:space="preserve">zullen </w:t>
      </w:r>
      <w:r w:rsidR="00935992" w:rsidRPr="00935992">
        <w:t>worden</w:t>
      </w:r>
      <w:r w:rsidR="00935992">
        <w:t>.</w:t>
      </w:r>
      <w:r w:rsidR="00935992" w:rsidRPr="00935992">
        <w:t xml:space="preserve"> </w:t>
      </w:r>
      <w:r w:rsidR="0039494D">
        <w:t xml:space="preserve">Bij het bepalen van </w:t>
      </w:r>
      <w:r w:rsidR="00443438" w:rsidRPr="0009779B">
        <w:t xml:space="preserve">de financiële positie en het risicoprofiel van een gemeente </w:t>
      </w:r>
      <w:r w:rsidR="0039494D">
        <w:t xml:space="preserve">weegt </w:t>
      </w:r>
      <w:r w:rsidR="00443438" w:rsidRPr="0009779B">
        <w:t>de provincie in haar risicoanalyse vele andere factoren mee</w:t>
      </w:r>
      <w:r w:rsidR="00940759">
        <w:t>. A</w:t>
      </w:r>
      <w:r w:rsidR="00443438" w:rsidRPr="0009779B">
        <w:t>an de hand van deze risicoanalyse is de provincie tot de conclusie gekomen dat de financiële positie van de gemeente Haren niet stabiel is. Dit oordeel is onder meer gebaseerd op de hoge schuldpositie (categorie meest risicovol) en de lage solvabiliteit</w:t>
      </w:r>
      <w:r w:rsidR="0039494D">
        <w:t>,</w:t>
      </w:r>
      <w:r w:rsidR="00443438" w:rsidRPr="0009779B">
        <w:t xml:space="preserve"> in combinatie met een </w:t>
      </w:r>
      <w:r w:rsidR="00CA1271">
        <w:t>beperkte ruimte om de belastingen te verhogen</w:t>
      </w:r>
      <w:r w:rsidR="00443438" w:rsidRPr="0009779B">
        <w:t xml:space="preserve"> en een beperkte reservepositie</w:t>
      </w:r>
      <w:r w:rsidR="0039494D">
        <w:t>.</w:t>
      </w:r>
      <w:r w:rsidR="00443438" w:rsidRPr="0009779B">
        <w:t xml:space="preserve"> </w:t>
      </w:r>
      <w:r w:rsidR="0039494D">
        <w:t xml:space="preserve">Dit </w:t>
      </w:r>
      <w:r w:rsidR="00940759">
        <w:t>betekent dat</w:t>
      </w:r>
      <w:r w:rsidR="00443438" w:rsidRPr="0009779B">
        <w:t xml:space="preserve"> </w:t>
      </w:r>
      <w:r w:rsidR="0039494D">
        <w:t>de gemeente Haren</w:t>
      </w:r>
      <w:r w:rsidR="0039494D" w:rsidRPr="0009779B">
        <w:t xml:space="preserve"> </w:t>
      </w:r>
      <w:r w:rsidR="00443438" w:rsidRPr="0009779B">
        <w:t xml:space="preserve">weinig ruimte </w:t>
      </w:r>
      <w:r w:rsidR="0039494D">
        <w:t>heeft</w:t>
      </w:r>
      <w:r w:rsidR="00940759">
        <w:t xml:space="preserve"> </w:t>
      </w:r>
      <w:r w:rsidR="00443438" w:rsidRPr="0009779B">
        <w:t xml:space="preserve">om financiële tegenvallers op te vangen. </w:t>
      </w:r>
      <w:r w:rsidR="0039494D">
        <w:t>Dat</w:t>
      </w:r>
      <w:r w:rsidR="0039494D" w:rsidRPr="0009779B">
        <w:t xml:space="preserve"> </w:t>
      </w:r>
      <w:r w:rsidR="00443438" w:rsidRPr="0009779B">
        <w:t xml:space="preserve">is zorgelijk, mede </w:t>
      </w:r>
      <w:r w:rsidR="00940759">
        <w:t>omdat er</w:t>
      </w:r>
      <w:r w:rsidR="00940759" w:rsidRPr="0009779B">
        <w:t xml:space="preserve"> </w:t>
      </w:r>
      <w:r w:rsidR="00443438" w:rsidRPr="0009779B">
        <w:t>in de nabije toekomst financiële risico’s spelen</w:t>
      </w:r>
      <w:r w:rsidR="00DB047E">
        <w:t xml:space="preserve"> en</w:t>
      </w:r>
      <w:r w:rsidR="00443438" w:rsidRPr="0009779B">
        <w:t xml:space="preserve"> de door de gemeente </w:t>
      </w:r>
      <w:r w:rsidR="00940759">
        <w:t>beoogde</w:t>
      </w:r>
      <w:r w:rsidR="00940759" w:rsidRPr="0009779B">
        <w:t xml:space="preserve"> </w:t>
      </w:r>
      <w:r w:rsidR="00443438" w:rsidRPr="0009779B">
        <w:t>bezuinigingen onzeker</w:t>
      </w:r>
      <w:r w:rsidR="00DB047E">
        <w:t xml:space="preserve"> zijn</w:t>
      </w:r>
      <w:r w:rsidR="00443438" w:rsidRPr="0009779B">
        <w:t xml:space="preserve">. </w:t>
      </w:r>
    </w:p>
    <w:p w:rsidR="00363717" w:rsidRDefault="00363717" w:rsidP="0009779B"/>
    <w:p w:rsidR="00C75CE3" w:rsidRPr="0009779B" w:rsidRDefault="00C75CE3" w:rsidP="00C75CE3">
      <w:r>
        <w:t>D</w:t>
      </w:r>
      <w:r w:rsidRPr="0009779B">
        <w:t>e</w:t>
      </w:r>
      <w:r>
        <w:t>zelfde</w:t>
      </w:r>
      <w:r w:rsidRPr="0009779B">
        <w:t xml:space="preserve"> leden </w:t>
      </w:r>
      <w:r>
        <w:t>vragen naar de huidige</w:t>
      </w:r>
      <w:r w:rsidRPr="0009779B">
        <w:t xml:space="preserve"> situatie </w:t>
      </w:r>
      <w:r>
        <w:t xml:space="preserve">betreffende </w:t>
      </w:r>
      <w:r w:rsidRPr="0009779B">
        <w:t>de artikel</w:t>
      </w:r>
      <w:r>
        <w:t> </w:t>
      </w:r>
      <w:r w:rsidRPr="0009779B">
        <w:t>12</w:t>
      </w:r>
      <w:r>
        <w:t>-</w:t>
      </w:r>
      <w:r w:rsidRPr="0009779B">
        <w:t>status van de gemeente Ten Boer</w:t>
      </w:r>
      <w:r>
        <w:t>.</w:t>
      </w:r>
      <w:r w:rsidRPr="0009779B">
        <w:t xml:space="preserve"> </w:t>
      </w:r>
      <w:r>
        <w:t xml:space="preserve">De </w:t>
      </w:r>
      <w:r w:rsidRPr="0009779B">
        <w:t xml:space="preserve">leden </w:t>
      </w:r>
      <w:r>
        <w:t xml:space="preserve">van de </w:t>
      </w:r>
      <w:r w:rsidRPr="005046C0">
        <w:rPr>
          <w:b/>
        </w:rPr>
        <w:t>SGP</w:t>
      </w:r>
      <w:r>
        <w:t xml:space="preserve">-fractie vragen </w:t>
      </w:r>
      <w:r w:rsidRPr="0009779B">
        <w:t>of de financiële situatie van Ten Boer zodanig is verbeterd dat er ook na samengaan met de gemeente Groningen sprake zal zijn van een blijvend gezonde situatie zonder grote lastenverzwaring voor de burgers.</w:t>
      </w:r>
      <w:r w:rsidR="00EA61B7" w:rsidRPr="00EA61B7">
        <w:t xml:space="preserve"> De belangrijkste oorzaak van de financiële problemen van de gemeente Ten Boer was gelegen in de </w:t>
      </w:r>
      <w:r w:rsidR="00A20F08">
        <w:t xml:space="preserve">negatieve </w:t>
      </w:r>
      <w:r w:rsidR="00EA61B7" w:rsidRPr="00EA61B7">
        <w:t>gevolgen van grondexploitaties. Dit artikel 12</w:t>
      </w:r>
      <w:r w:rsidR="005413BF">
        <w:t>-</w:t>
      </w:r>
      <w:r w:rsidR="00EA61B7" w:rsidRPr="00EA61B7">
        <w:t>traject is inmiddels afgerond. De fondsbeheerders (BZK en Financiën) hebben medio 2017 een eindbedrag toegekend aan Ten Boer dat afdoende is om financieel weer op orde te komen. Bij het toekennen van het eindbedrag is ook rekening gehouden met de aanstaande herindeling van Ten Boer</w:t>
      </w:r>
      <w:r w:rsidR="005413BF">
        <w:t>, zo</w:t>
      </w:r>
      <w:r w:rsidR="00EA61B7" w:rsidRPr="00EA61B7">
        <w:t xml:space="preserve">dat de nieuwe gemeente niet wordt geconfronteerd met tekorten van Ten Boer. De financiële situatie van de gemeente Ten Boer zal </w:t>
      </w:r>
      <w:r w:rsidR="005413BF">
        <w:t>dan ook</w:t>
      </w:r>
      <w:r w:rsidR="005413BF" w:rsidRPr="00EA61B7">
        <w:t xml:space="preserve"> </w:t>
      </w:r>
      <w:r w:rsidR="00EA61B7" w:rsidRPr="00EA61B7">
        <w:t>geen negatieve invloed hebben op de financiën van de nieuwe gemeente.</w:t>
      </w:r>
    </w:p>
    <w:p w:rsidR="005413BF" w:rsidRDefault="005413BF" w:rsidP="0009779B"/>
    <w:p w:rsidR="000E01EA" w:rsidRPr="0009779B" w:rsidRDefault="00B274BF" w:rsidP="0009779B">
      <w:r w:rsidRPr="0009779B">
        <w:t xml:space="preserve">De leden van de </w:t>
      </w:r>
      <w:r w:rsidRPr="005046C0">
        <w:rPr>
          <w:b/>
        </w:rPr>
        <w:t>VVD</w:t>
      </w:r>
      <w:r w:rsidRPr="0009779B">
        <w:t>-fractie vragen de regering</w:t>
      </w:r>
      <w:r w:rsidR="000E39F0">
        <w:t xml:space="preserve"> voorts</w:t>
      </w:r>
      <w:r w:rsidRPr="0009779B">
        <w:t xml:space="preserve"> een overzicht te verschaffen van de lokale lasten voor zowel bedrijven als inwoners in de drie gemeenten en hoe deze zich de afgelopen jaren hebben ontwikkeld.</w:t>
      </w:r>
      <w:r w:rsidR="00363717">
        <w:t xml:space="preserve"> </w:t>
      </w:r>
      <w:r w:rsidR="000E01EA" w:rsidRPr="0009779B">
        <w:t xml:space="preserve">Hieronder </w:t>
      </w:r>
      <w:r w:rsidR="00363717">
        <w:t xml:space="preserve">is </w:t>
      </w:r>
      <w:r w:rsidR="000E01EA" w:rsidRPr="0009779B">
        <w:t xml:space="preserve">een overzicht </w:t>
      </w:r>
      <w:r w:rsidR="00363717">
        <w:t xml:space="preserve">opgenomen </w:t>
      </w:r>
      <w:r w:rsidR="000E01EA" w:rsidRPr="0009779B">
        <w:t>van de ontwikkelingen van de lokale woonlasten</w:t>
      </w:r>
      <w:r w:rsidR="00940759" w:rsidRPr="00940759">
        <w:t xml:space="preserve"> </w:t>
      </w:r>
      <w:r w:rsidR="00940759" w:rsidRPr="0009779B">
        <w:t>in de drie betrokken gemeenten</w:t>
      </w:r>
      <w:r w:rsidR="000E01EA" w:rsidRPr="0009779B">
        <w:t xml:space="preserve"> </w:t>
      </w:r>
      <w:r w:rsidR="00940759">
        <w:t>in</w:t>
      </w:r>
      <w:r w:rsidR="00940759" w:rsidRPr="0009779B">
        <w:t xml:space="preserve"> </w:t>
      </w:r>
      <w:r w:rsidR="000E01EA" w:rsidRPr="0009779B">
        <w:t xml:space="preserve">de jaren 2014 </w:t>
      </w:r>
      <w:r w:rsidR="00940759">
        <w:t>tot en met</w:t>
      </w:r>
      <w:r w:rsidR="000E01EA" w:rsidRPr="0009779B">
        <w:t xml:space="preserve"> 2017.</w:t>
      </w:r>
      <w:r w:rsidR="000E39F0" w:rsidRPr="00363717">
        <w:rPr>
          <w:vertAlign w:val="superscript"/>
        </w:rPr>
        <w:footnoteReference w:id="8"/>
      </w:r>
      <w:r w:rsidR="000E01EA" w:rsidRPr="0009779B">
        <w:t xml:space="preserve"> Uit </w:t>
      </w:r>
      <w:r w:rsidR="00940759">
        <w:t>het overzicht</w:t>
      </w:r>
      <w:r w:rsidR="000E01EA" w:rsidRPr="0009779B">
        <w:t xml:space="preserve"> blijkt dat de woonlasten in de gemeente Groningen lager zijn dan in de gemeenten Haren en Ten Boer. Tevens valt de continue lastenstijging in Haren en Ten Boer</w:t>
      </w:r>
      <w:r w:rsidR="00FA24A6" w:rsidRPr="00FA24A6">
        <w:t xml:space="preserve"> </w:t>
      </w:r>
      <w:r w:rsidR="00FA24A6" w:rsidRPr="0009779B">
        <w:t>op</w:t>
      </w:r>
      <w:r w:rsidR="000E01EA" w:rsidRPr="0009779B">
        <w:t xml:space="preserve">, </w:t>
      </w:r>
      <w:r w:rsidR="00940759">
        <w:t>waarbij</w:t>
      </w:r>
      <w:r w:rsidR="000E01EA" w:rsidRPr="0009779B">
        <w:t xml:space="preserve"> </w:t>
      </w:r>
      <w:r w:rsidR="00940759">
        <w:t xml:space="preserve">in </w:t>
      </w:r>
      <w:r w:rsidR="000E01EA" w:rsidRPr="0009779B">
        <w:t xml:space="preserve">de gemeente Haren </w:t>
      </w:r>
      <w:r w:rsidR="00940759">
        <w:t xml:space="preserve">sprake is van </w:t>
      </w:r>
      <w:r w:rsidR="000E01EA" w:rsidRPr="0009779B">
        <w:t>een opvallend forse stijging in 2017. Dit beeld komt overeen met de begrotingen van de drie gemeenten in de afgelopen jaren.</w:t>
      </w:r>
      <w:r w:rsidR="005413BF">
        <w:rPr>
          <w:rStyle w:val="Voetnootmarkering"/>
        </w:rPr>
        <w:footnoteReference w:id="9"/>
      </w:r>
    </w:p>
    <w:p w:rsidR="005413BF" w:rsidRDefault="005413BF">
      <w:pPr>
        <w:spacing w:line="240" w:lineRule="auto"/>
        <w:rPr>
          <w:i/>
        </w:rPr>
      </w:pPr>
    </w:p>
    <w:p w:rsidR="005046C0" w:rsidRDefault="005046C0">
      <w:pPr>
        <w:spacing w:line="240" w:lineRule="auto"/>
        <w:rPr>
          <w:i/>
        </w:rPr>
      </w:pPr>
      <w:r>
        <w:br w:type="page"/>
      </w:r>
    </w:p>
    <w:p w:rsidR="000E01EA" w:rsidRPr="0009779B" w:rsidRDefault="000E01EA" w:rsidP="00363717">
      <w:pPr>
        <w:pStyle w:val="Kop2"/>
      </w:pPr>
      <w:r w:rsidRPr="0009779B">
        <w:lastRenderedPageBreak/>
        <w:t>Woonlasten éénpersoonshuishouden (in euro's per jaar)</w:t>
      </w:r>
    </w:p>
    <w:p w:rsidR="000E01EA" w:rsidRPr="0009779B" w:rsidRDefault="000E01EA" w:rsidP="0009779B">
      <w:pPr>
        <w:spacing w:line="276" w:lineRule="auto"/>
      </w:pPr>
      <w:r w:rsidRPr="0009779B">
        <w:rPr>
          <w:noProof/>
        </w:rPr>
        <w:drawing>
          <wp:inline distT="0" distB="0" distL="0" distR="0">
            <wp:extent cx="4572000" cy="2743200"/>
            <wp:effectExtent l="0" t="0" r="0" b="0"/>
            <wp:docPr id="2" name="Grafiek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E01EA" w:rsidRPr="0009779B" w:rsidRDefault="000E01EA" w:rsidP="0009779B">
      <w:pPr>
        <w:spacing w:line="276" w:lineRule="auto"/>
      </w:pPr>
    </w:p>
    <w:p w:rsidR="000E01EA" w:rsidRPr="0009779B" w:rsidRDefault="000E01EA" w:rsidP="00363717">
      <w:pPr>
        <w:pStyle w:val="Kop2"/>
      </w:pPr>
      <w:r w:rsidRPr="0009779B">
        <w:t>Woonlasten meerpersoonshuishouden (in euro's per</w:t>
      </w:r>
      <w:r w:rsidR="00C36EDD">
        <w:t xml:space="preserve"> </w:t>
      </w:r>
      <w:r w:rsidRPr="0009779B">
        <w:t>jaar)</w:t>
      </w:r>
    </w:p>
    <w:p w:rsidR="000E01EA" w:rsidRPr="0009779B" w:rsidRDefault="000E01EA" w:rsidP="0009779B">
      <w:pPr>
        <w:spacing w:line="276" w:lineRule="auto"/>
      </w:pPr>
      <w:r w:rsidRPr="0009779B">
        <w:rPr>
          <w:noProof/>
        </w:rPr>
        <w:drawing>
          <wp:inline distT="0" distB="0" distL="0" distR="0">
            <wp:extent cx="4404360" cy="3503295"/>
            <wp:effectExtent l="0" t="0" r="15240" b="1905"/>
            <wp:docPr id="1" name="Grafiek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E01EA" w:rsidRPr="0009779B" w:rsidRDefault="000E01EA" w:rsidP="0009779B">
      <w:pPr>
        <w:spacing w:line="276" w:lineRule="auto"/>
      </w:pPr>
    </w:p>
    <w:p w:rsidR="00B274BF" w:rsidRPr="00FA24A6" w:rsidRDefault="00E64597" w:rsidP="0009779B">
      <w:r>
        <w:t>Onder de</w:t>
      </w:r>
      <w:r w:rsidR="00764CB4" w:rsidRPr="0009779B">
        <w:t xml:space="preserve"> lokale lasten voor bedrijven </w:t>
      </w:r>
      <w:r>
        <w:t xml:space="preserve">vallen onder meer </w:t>
      </w:r>
      <w:r w:rsidR="00B274BF" w:rsidRPr="0009779B">
        <w:t>algemene belastingen, heffingen en leges. De</w:t>
      </w:r>
      <w:r w:rsidR="00C36EDD">
        <w:t xml:space="preserve"> </w:t>
      </w:r>
      <w:r w:rsidR="00B274BF" w:rsidRPr="0009779B">
        <w:t xml:space="preserve">tarieventabellen </w:t>
      </w:r>
      <w:r w:rsidR="000E01EA" w:rsidRPr="0009779B">
        <w:t xml:space="preserve">hiervoor </w:t>
      </w:r>
      <w:r w:rsidR="00B274BF" w:rsidRPr="0009779B">
        <w:t xml:space="preserve">zijn </w:t>
      </w:r>
      <w:r w:rsidR="00363717" w:rsidRPr="0009779B">
        <w:t>omvangrijk</w:t>
      </w:r>
      <w:r w:rsidR="00B274BF" w:rsidRPr="0009779B">
        <w:t xml:space="preserve"> en de heffingen hebben</w:t>
      </w:r>
      <w:r w:rsidR="00C36EDD">
        <w:t xml:space="preserve"> </w:t>
      </w:r>
      <w:r w:rsidR="00B274BF" w:rsidRPr="0009779B">
        <w:t xml:space="preserve">ongelijke grondslagen. </w:t>
      </w:r>
      <w:r w:rsidR="00FA24A6">
        <w:t>Ook</w:t>
      </w:r>
      <w:r w:rsidR="00FA24A6" w:rsidRPr="0009779B">
        <w:t xml:space="preserve"> </w:t>
      </w:r>
      <w:r w:rsidR="00B274BF" w:rsidRPr="0009779B">
        <w:t>zijn de lasten afhankelijk van de omvang en het type bedrijf (object)</w:t>
      </w:r>
      <w:r>
        <w:t>. Door deze diversiteit is</w:t>
      </w:r>
      <w:r w:rsidR="007F44F2">
        <w:t xml:space="preserve"> </w:t>
      </w:r>
      <w:r>
        <w:t xml:space="preserve">het lastig de lasten </w:t>
      </w:r>
      <w:r w:rsidR="001944AC">
        <w:t xml:space="preserve">in </w:t>
      </w:r>
      <w:r>
        <w:t>de drie gemeenten te vergelijken</w:t>
      </w:r>
      <w:r w:rsidR="00B274BF" w:rsidRPr="0009779B">
        <w:t xml:space="preserve">. Onderstaande tabellen geven een </w:t>
      </w:r>
      <w:r w:rsidRPr="0009779B">
        <w:t>indicatie</w:t>
      </w:r>
      <w:r>
        <w:t xml:space="preserve"> van de tarieven van de </w:t>
      </w:r>
      <w:r w:rsidRPr="00FA24A6">
        <w:t xml:space="preserve">precariobelasting en </w:t>
      </w:r>
      <w:r w:rsidR="00D013AA" w:rsidRPr="00FA24A6">
        <w:t>de voornaamste voor bedrijven relevante</w:t>
      </w:r>
      <w:r w:rsidRPr="00FA24A6">
        <w:t xml:space="preserve"> leges die in de gemeenten worden geheven</w:t>
      </w:r>
      <w:r w:rsidR="00B274BF" w:rsidRPr="00FA24A6">
        <w:t>.</w:t>
      </w:r>
    </w:p>
    <w:p w:rsidR="00B274BF" w:rsidRPr="00FA24A6" w:rsidRDefault="00B274BF" w:rsidP="0009779B"/>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5"/>
        <w:gridCol w:w="1358"/>
        <w:gridCol w:w="1360"/>
        <w:gridCol w:w="1358"/>
      </w:tblGrid>
      <w:tr w:rsidR="00B274BF" w:rsidRPr="00FA24A6" w:rsidTr="00FA24A6">
        <w:tc>
          <w:tcPr>
            <w:tcW w:w="2500" w:type="pct"/>
            <w:shd w:val="clear" w:color="auto" w:fill="auto"/>
          </w:tcPr>
          <w:p w:rsidR="00B274BF" w:rsidRPr="00FA24A6" w:rsidRDefault="00B274BF" w:rsidP="0009779B">
            <w:pPr>
              <w:rPr>
                <w:b/>
              </w:rPr>
            </w:pPr>
            <w:r w:rsidRPr="00FA24A6">
              <w:rPr>
                <w:b/>
              </w:rPr>
              <w:t>Verordening precariobelasting (2018)</w:t>
            </w:r>
          </w:p>
        </w:tc>
        <w:tc>
          <w:tcPr>
            <w:tcW w:w="833" w:type="pct"/>
            <w:shd w:val="clear" w:color="auto" w:fill="auto"/>
          </w:tcPr>
          <w:p w:rsidR="00B274BF" w:rsidRPr="00FA24A6" w:rsidRDefault="00B274BF" w:rsidP="0009779B">
            <w:pPr>
              <w:rPr>
                <w:b/>
              </w:rPr>
            </w:pPr>
            <w:r w:rsidRPr="00FA24A6">
              <w:rPr>
                <w:b/>
              </w:rPr>
              <w:t>Groningen</w:t>
            </w:r>
          </w:p>
        </w:tc>
        <w:tc>
          <w:tcPr>
            <w:tcW w:w="834" w:type="pct"/>
            <w:shd w:val="clear" w:color="auto" w:fill="auto"/>
          </w:tcPr>
          <w:p w:rsidR="00B274BF" w:rsidRPr="00FA24A6" w:rsidRDefault="00B274BF" w:rsidP="0009779B">
            <w:pPr>
              <w:rPr>
                <w:b/>
              </w:rPr>
            </w:pPr>
            <w:r w:rsidRPr="00FA24A6">
              <w:rPr>
                <w:b/>
              </w:rPr>
              <w:t>Haren</w:t>
            </w:r>
          </w:p>
        </w:tc>
        <w:tc>
          <w:tcPr>
            <w:tcW w:w="834" w:type="pct"/>
            <w:shd w:val="clear" w:color="auto" w:fill="auto"/>
          </w:tcPr>
          <w:p w:rsidR="00B274BF" w:rsidRPr="00FA24A6" w:rsidRDefault="00B274BF" w:rsidP="0009779B">
            <w:pPr>
              <w:rPr>
                <w:b/>
              </w:rPr>
            </w:pPr>
            <w:r w:rsidRPr="00FA24A6">
              <w:rPr>
                <w:b/>
              </w:rPr>
              <w:t>Ten Boer</w:t>
            </w:r>
          </w:p>
        </w:tc>
      </w:tr>
      <w:tr w:rsidR="00B274BF" w:rsidRPr="00FA24A6" w:rsidTr="00FA24A6">
        <w:tc>
          <w:tcPr>
            <w:tcW w:w="2500" w:type="pct"/>
            <w:shd w:val="clear" w:color="auto" w:fill="auto"/>
          </w:tcPr>
          <w:p w:rsidR="00B274BF" w:rsidRPr="00FA24A6" w:rsidRDefault="00B274BF" w:rsidP="0009779B">
            <w:r w:rsidRPr="00FA24A6">
              <w:t>Algemeen tarief m</w:t>
            </w:r>
            <w:r w:rsidRPr="00FA24A6">
              <w:rPr>
                <w:vertAlign w:val="superscript"/>
              </w:rPr>
              <w:t>2</w:t>
            </w:r>
            <w:r w:rsidRPr="00FA24A6">
              <w:t>/jaar</w:t>
            </w:r>
          </w:p>
        </w:tc>
        <w:tc>
          <w:tcPr>
            <w:tcW w:w="833" w:type="pct"/>
            <w:shd w:val="clear" w:color="auto" w:fill="auto"/>
          </w:tcPr>
          <w:p w:rsidR="00B274BF" w:rsidRPr="00FA24A6" w:rsidRDefault="00B274BF" w:rsidP="0009779B">
            <w:r w:rsidRPr="00FA24A6">
              <w:t>€ 53,05</w:t>
            </w:r>
          </w:p>
        </w:tc>
        <w:tc>
          <w:tcPr>
            <w:tcW w:w="834" w:type="pct"/>
            <w:shd w:val="clear" w:color="auto" w:fill="auto"/>
          </w:tcPr>
          <w:p w:rsidR="00B274BF" w:rsidRPr="00FA24A6" w:rsidRDefault="00B274BF" w:rsidP="0009779B">
            <w:r w:rsidRPr="00FA24A6">
              <w:t>0</w:t>
            </w:r>
          </w:p>
        </w:tc>
        <w:tc>
          <w:tcPr>
            <w:tcW w:w="834" w:type="pct"/>
            <w:shd w:val="clear" w:color="auto" w:fill="auto"/>
          </w:tcPr>
          <w:p w:rsidR="00B274BF" w:rsidRPr="00FA24A6" w:rsidRDefault="00B274BF" w:rsidP="0009779B">
            <w:r w:rsidRPr="00FA24A6">
              <w:t>0</w:t>
            </w:r>
          </w:p>
        </w:tc>
      </w:tr>
      <w:tr w:rsidR="00B274BF" w:rsidRPr="00FA24A6" w:rsidTr="00FA24A6">
        <w:tc>
          <w:tcPr>
            <w:tcW w:w="2500" w:type="pct"/>
            <w:shd w:val="clear" w:color="auto" w:fill="auto"/>
          </w:tcPr>
          <w:p w:rsidR="00B274BF" w:rsidRPr="00FA24A6" w:rsidRDefault="00B274BF" w:rsidP="00DB6481">
            <w:r w:rsidRPr="00FA24A6">
              <w:t>Groenstroken/jaar</w:t>
            </w:r>
          </w:p>
        </w:tc>
        <w:tc>
          <w:tcPr>
            <w:tcW w:w="833" w:type="pct"/>
            <w:shd w:val="clear" w:color="auto" w:fill="auto"/>
          </w:tcPr>
          <w:p w:rsidR="00B274BF" w:rsidRPr="00FA24A6" w:rsidRDefault="00B274BF" w:rsidP="0009779B">
            <w:r w:rsidRPr="00FA24A6">
              <w:t>€</w:t>
            </w:r>
            <w:r w:rsidR="00C36EDD" w:rsidRPr="00FA24A6">
              <w:t xml:space="preserve"> </w:t>
            </w:r>
            <w:r w:rsidRPr="00FA24A6">
              <w:t>6</w:t>
            </w:r>
          </w:p>
        </w:tc>
        <w:tc>
          <w:tcPr>
            <w:tcW w:w="834" w:type="pct"/>
            <w:shd w:val="clear" w:color="auto" w:fill="auto"/>
          </w:tcPr>
          <w:p w:rsidR="00B274BF" w:rsidRPr="00FA24A6" w:rsidRDefault="00B274BF" w:rsidP="0009779B">
            <w:r w:rsidRPr="00FA24A6">
              <w:t>0</w:t>
            </w:r>
          </w:p>
        </w:tc>
        <w:tc>
          <w:tcPr>
            <w:tcW w:w="834" w:type="pct"/>
            <w:shd w:val="clear" w:color="auto" w:fill="auto"/>
          </w:tcPr>
          <w:p w:rsidR="00B274BF" w:rsidRPr="00FA24A6" w:rsidRDefault="00B274BF" w:rsidP="0009779B">
            <w:r w:rsidRPr="00FA24A6">
              <w:t>0</w:t>
            </w:r>
          </w:p>
        </w:tc>
      </w:tr>
      <w:tr w:rsidR="00B274BF" w:rsidRPr="00FA24A6" w:rsidTr="00FA24A6">
        <w:tc>
          <w:tcPr>
            <w:tcW w:w="2500" w:type="pct"/>
            <w:shd w:val="clear" w:color="auto" w:fill="auto"/>
          </w:tcPr>
          <w:p w:rsidR="00B274BF" w:rsidRPr="00FA24A6" w:rsidRDefault="00B274BF" w:rsidP="0009779B">
            <w:r w:rsidRPr="00FA24A6">
              <w:t>Bouwmaterialen m</w:t>
            </w:r>
            <w:r w:rsidRPr="00FA24A6">
              <w:rPr>
                <w:vertAlign w:val="superscript"/>
              </w:rPr>
              <w:t>2</w:t>
            </w:r>
            <w:r w:rsidRPr="00FA24A6">
              <w:t>/jaar</w:t>
            </w:r>
          </w:p>
        </w:tc>
        <w:tc>
          <w:tcPr>
            <w:tcW w:w="833" w:type="pct"/>
            <w:shd w:val="clear" w:color="auto" w:fill="auto"/>
          </w:tcPr>
          <w:p w:rsidR="00B274BF" w:rsidRPr="00FA24A6" w:rsidRDefault="00B274BF" w:rsidP="0009779B">
            <w:r w:rsidRPr="00FA24A6">
              <w:t>€</w:t>
            </w:r>
            <w:r w:rsidR="00C36EDD" w:rsidRPr="00FA24A6">
              <w:t xml:space="preserve"> </w:t>
            </w:r>
            <w:r w:rsidRPr="00FA24A6">
              <w:t>5,55</w:t>
            </w:r>
          </w:p>
        </w:tc>
        <w:tc>
          <w:tcPr>
            <w:tcW w:w="834" w:type="pct"/>
            <w:shd w:val="clear" w:color="auto" w:fill="auto"/>
          </w:tcPr>
          <w:p w:rsidR="00B274BF" w:rsidRPr="00FA24A6" w:rsidRDefault="00B274BF" w:rsidP="0009779B">
            <w:r w:rsidRPr="00FA24A6">
              <w:t>0</w:t>
            </w:r>
          </w:p>
        </w:tc>
        <w:tc>
          <w:tcPr>
            <w:tcW w:w="834" w:type="pct"/>
            <w:shd w:val="clear" w:color="auto" w:fill="auto"/>
          </w:tcPr>
          <w:p w:rsidR="00B274BF" w:rsidRPr="00FA24A6" w:rsidRDefault="00B274BF" w:rsidP="0009779B">
            <w:r w:rsidRPr="00FA24A6">
              <w:t>0</w:t>
            </w:r>
          </w:p>
        </w:tc>
      </w:tr>
      <w:tr w:rsidR="00B274BF" w:rsidRPr="00FA24A6" w:rsidTr="00FA24A6">
        <w:tc>
          <w:tcPr>
            <w:tcW w:w="2500" w:type="pct"/>
            <w:shd w:val="clear" w:color="auto" w:fill="auto"/>
          </w:tcPr>
          <w:p w:rsidR="00B274BF" w:rsidRPr="00FA24A6" w:rsidRDefault="00B274BF" w:rsidP="001944AC">
            <w:r w:rsidRPr="00FA24A6">
              <w:lastRenderedPageBreak/>
              <w:t>Terras buiten diepenring m</w:t>
            </w:r>
            <w:r w:rsidRPr="00FA24A6">
              <w:rPr>
                <w:vertAlign w:val="superscript"/>
              </w:rPr>
              <w:t>2</w:t>
            </w:r>
            <w:r w:rsidRPr="00FA24A6">
              <w:t>/</w:t>
            </w:r>
            <w:r w:rsidR="001944AC" w:rsidRPr="00FA24A6">
              <w:t>seizoen</w:t>
            </w:r>
          </w:p>
        </w:tc>
        <w:tc>
          <w:tcPr>
            <w:tcW w:w="833" w:type="pct"/>
            <w:shd w:val="clear" w:color="auto" w:fill="auto"/>
          </w:tcPr>
          <w:p w:rsidR="00B274BF" w:rsidRPr="00FA24A6" w:rsidRDefault="00B274BF" w:rsidP="0009779B">
            <w:r w:rsidRPr="00FA24A6">
              <w:t>€ 43,80</w:t>
            </w:r>
          </w:p>
        </w:tc>
        <w:tc>
          <w:tcPr>
            <w:tcW w:w="834" w:type="pct"/>
            <w:shd w:val="clear" w:color="auto" w:fill="auto"/>
          </w:tcPr>
          <w:p w:rsidR="00B274BF" w:rsidRPr="00FA24A6" w:rsidRDefault="00B274BF" w:rsidP="0009779B">
            <w:r w:rsidRPr="00FA24A6">
              <w:t>0</w:t>
            </w:r>
          </w:p>
        </w:tc>
        <w:tc>
          <w:tcPr>
            <w:tcW w:w="834" w:type="pct"/>
            <w:shd w:val="clear" w:color="auto" w:fill="auto"/>
          </w:tcPr>
          <w:p w:rsidR="00B274BF" w:rsidRPr="00FA24A6" w:rsidRDefault="00B274BF" w:rsidP="0009779B">
            <w:r w:rsidRPr="00FA24A6">
              <w:t>0</w:t>
            </w:r>
          </w:p>
        </w:tc>
      </w:tr>
      <w:tr w:rsidR="00B274BF" w:rsidRPr="00FA24A6" w:rsidTr="00FA24A6">
        <w:tc>
          <w:tcPr>
            <w:tcW w:w="2500" w:type="pct"/>
            <w:shd w:val="clear" w:color="auto" w:fill="auto"/>
          </w:tcPr>
          <w:p w:rsidR="00B274BF" w:rsidRPr="00FA24A6" w:rsidRDefault="00B274BF" w:rsidP="001944AC">
            <w:r w:rsidRPr="00FA24A6">
              <w:t>Terras binnen diepenring m</w:t>
            </w:r>
            <w:r w:rsidRPr="00FA24A6">
              <w:rPr>
                <w:vertAlign w:val="superscript"/>
              </w:rPr>
              <w:t>2</w:t>
            </w:r>
            <w:r w:rsidRPr="00FA24A6">
              <w:t>/</w:t>
            </w:r>
            <w:r w:rsidR="001944AC" w:rsidRPr="00FA24A6">
              <w:t>seizoen</w:t>
            </w:r>
          </w:p>
        </w:tc>
        <w:tc>
          <w:tcPr>
            <w:tcW w:w="833" w:type="pct"/>
            <w:shd w:val="clear" w:color="auto" w:fill="auto"/>
          </w:tcPr>
          <w:p w:rsidR="00B274BF" w:rsidRPr="00FA24A6" w:rsidRDefault="00B274BF" w:rsidP="0009779B">
            <w:r w:rsidRPr="00FA24A6">
              <w:t>€ 54,00</w:t>
            </w:r>
          </w:p>
        </w:tc>
        <w:tc>
          <w:tcPr>
            <w:tcW w:w="834" w:type="pct"/>
            <w:shd w:val="clear" w:color="auto" w:fill="auto"/>
          </w:tcPr>
          <w:p w:rsidR="00B274BF" w:rsidRPr="00FA24A6" w:rsidRDefault="00B274BF" w:rsidP="0009779B">
            <w:r w:rsidRPr="00FA24A6">
              <w:t>0</w:t>
            </w:r>
          </w:p>
        </w:tc>
        <w:tc>
          <w:tcPr>
            <w:tcW w:w="834" w:type="pct"/>
            <w:shd w:val="clear" w:color="auto" w:fill="auto"/>
          </w:tcPr>
          <w:p w:rsidR="00B274BF" w:rsidRPr="00FA24A6" w:rsidRDefault="00B274BF" w:rsidP="0009779B">
            <w:r w:rsidRPr="00FA24A6">
              <w:t>0</w:t>
            </w:r>
          </w:p>
        </w:tc>
      </w:tr>
      <w:tr w:rsidR="00B274BF" w:rsidRPr="00FA24A6" w:rsidTr="00FA24A6">
        <w:tc>
          <w:tcPr>
            <w:tcW w:w="2500" w:type="pct"/>
            <w:shd w:val="clear" w:color="auto" w:fill="auto"/>
          </w:tcPr>
          <w:p w:rsidR="00B274BF" w:rsidRPr="00FA24A6" w:rsidRDefault="00B274BF" w:rsidP="0009779B">
            <w:r w:rsidRPr="00FA24A6">
              <w:t>Uithangborden en dergelijke m</w:t>
            </w:r>
            <w:r w:rsidRPr="00FA24A6">
              <w:rPr>
                <w:vertAlign w:val="superscript"/>
              </w:rPr>
              <w:t>2</w:t>
            </w:r>
            <w:r w:rsidRPr="00FA24A6">
              <w:t>/j</w:t>
            </w:r>
            <w:r w:rsidR="00DB6481" w:rsidRPr="00FA24A6">
              <w:t>aa</w:t>
            </w:r>
            <w:r w:rsidRPr="00FA24A6">
              <w:t xml:space="preserve">r </w:t>
            </w:r>
          </w:p>
        </w:tc>
        <w:tc>
          <w:tcPr>
            <w:tcW w:w="833" w:type="pct"/>
            <w:shd w:val="clear" w:color="auto" w:fill="auto"/>
          </w:tcPr>
          <w:p w:rsidR="00B274BF" w:rsidRPr="00FA24A6" w:rsidRDefault="00B274BF" w:rsidP="0009779B">
            <w:r w:rsidRPr="00FA24A6">
              <w:t>€ 120,00</w:t>
            </w:r>
          </w:p>
        </w:tc>
        <w:tc>
          <w:tcPr>
            <w:tcW w:w="834" w:type="pct"/>
            <w:shd w:val="clear" w:color="auto" w:fill="auto"/>
          </w:tcPr>
          <w:p w:rsidR="00B274BF" w:rsidRPr="00FA24A6" w:rsidRDefault="00B274BF" w:rsidP="0009779B">
            <w:r w:rsidRPr="00FA24A6">
              <w:t>0</w:t>
            </w:r>
          </w:p>
        </w:tc>
        <w:tc>
          <w:tcPr>
            <w:tcW w:w="834" w:type="pct"/>
            <w:shd w:val="clear" w:color="auto" w:fill="auto"/>
          </w:tcPr>
          <w:p w:rsidR="00B274BF" w:rsidRPr="00FA24A6" w:rsidRDefault="00B274BF" w:rsidP="0009779B">
            <w:r w:rsidRPr="00FA24A6">
              <w:t>0</w:t>
            </w:r>
          </w:p>
        </w:tc>
      </w:tr>
      <w:tr w:rsidR="00B274BF" w:rsidRPr="00FA24A6" w:rsidTr="00FA24A6">
        <w:tc>
          <w:tcPr>
            <w:tcW w:w="2500" w:type="pct"/>
            <w:shd w:val="clear" w:color="auto" w:fill="auto"/>
          </w:tcPr>
          <w:p w:rsidR="00B274BF" w:rsidRPr="00FA24A6" w:rsidRDefault="00B274BF" w:rsidP="0009779B">
            <w:r w:rsidRPr="00FA24A6">
              <w:t>Open afval container &lt; 10</w:t>
            </w:r>
            <w:r w:rsidR="00DB6481" w:rsidRPr="00FA24A6">
              <w:t xml:space="preserve"> </w:t>
            </w:r>
            <w:r w:rsidRPr="00FA24A6">
              <w:t>m</w:t>
            </w:r>
            <w:r w:rsidRPr="00FA24A6">
              <w:rPr>
                <w:vertAlign w:val="superscript"/>
              </w:rPr>
              <w:t>3</w:t>
            </w:r>
          </w:p>
        </w:tc>
        <w:tc>
          <w:tcPr>
            <w:tcW w:w="833" w:type="pct"/>
            <w:shd w:val="clear" w:color="auto" w:fill="auto"/>
          </w:tcPr>
          <w:p w:rsidR="00B274BF" w:rsidRPr="00FA24A6" w:rsidRDefault="00B274BF" w:rsidP="0009779B">
            <w:r w:rsidRPr="00FA24A6">
              <w:t>€ 11,05</w:t>
            </w:r>
          </w:p>
        </w:tc>
        <w:tc>
          <w:tcPr>
            <w:tcW w:w="834" w:type="pct"/>
            <w:shd w:val="clear" w:color="auto" w:fill="auto"/>
          </w:tcPr>
          <w:p w:rsidR="00B274BF" w:rsidRPr="00FA24A6" w:rsidRDefault="00B274BF" w:rsidP="0009779B">
            <w:r w:rsidRPr="00FA24A6">
              <w:t>0</w:t>
            </w:r>
          </w:p>
        </w:tc>
        <w:tc>
          <w:tcPr>
            <w:tcW w:w="834" w:type="pct"/>
            <w:shd w:val="clear" w:color="auto" w:fill="auto"/>
          </w:tcPr>
          <w:p w:rsidR="00B274BF" w:rsidRPr="00FA24A6" w:rsidRDefault="00B274BF" w:rsidP="0009779B">
            <w:r w:rsidRPr="00FA24A6">
              <w:t>0</w:t>
            </w:r>
          </w:p>
        </w:tc>
      </w:tr>
      <w:tr w:rsidR="00B274BF" w:rsidRPr="00FA24A6" w:rsidTr="00FA24A6">
        <w:tc>
          <w:tcPr>
            <w:tcW w:w="2500" w:type="pct"/>
            <w:shd w:val="clear" w:color="auto" w:fill="auto"/>
          </w:tcPr>
          <w:p w:rsidR="00B274BF" w:rsidRPr="00FA24A6" w:rsidRDefault="00B274BF" w:rsidP="0009779B">
            <w:r w:rsidRPr="00FA24A6">
              <w:t>Open afval container &gt;= 10</w:t>
            </w:r>
            <w:r w:rsidR="00DB6481" w:rsidRPr="00FA24A6">
              <w:t xml:space="preserve"> </w:t>
            </w:r>
            <w:r w:rsidRPr="00FA24A6">
              <w:t>m</w:t>
            </w:r>
            <w:r w:rsidRPr="00FA24A6">
              <w:rPr>
                <w:vertAlign w:val="superscript"/>
              </w:rPr>
              <w:t>3</w:t>
            </w:r>
          </w:p>
        </w:tc>
        <w:tc>
          <w:tcPr>
            <w:tcW w:w="833" w:type="pct"/>
            <w:shd w:val="clear" w:color="auto" w:fill="auto"/>
          </w:tcPr>
          <w:p w:rsidR="00B274BF" w:rsidRPr="00FA24A6" w:rsidRDefault="00B274BF" w:rsidP="0009779B">
            <w:r w:rsidRPr="00FA24A6">
              <w:t>€ 27,30</w:t>
            </w:r>
          </w:p>
        </w:tc>
        <w:tc>
          <w:tcPr>
            <w:tcW w:w="834" w:type="pct"/>
            <w:shd w:val="clear" w:color="auto" w:fill="auto"/>
          </w:tcPr>
          <w:p w:rsidR="00B274BF" w:rsidRPr="00FA24A6" w:rsidRDefault="00B274BF" w:rsidP="0009779B">
            <w:r w:rsidRPr="00FA24A6">
              <w:t>0</w:t>
            </w:r>
          </w:p>
        </w:tc>
        <w:tc>
          <w:tcPr>
            <w:tcW w:w="834" w:type="pct"/>
            <w:shd w:val="clear" w:color="auto" w:fill="auto"/>
          </w:tcPr>
          <w:p w:rsidR="00B274BF" w:rsidRPr="00FA24A6" w:rsidRDefault="00B274BF" w:rsidP="0009779B">
            <w:r w:rsidRPr="00FA24A6">
              <w:t>0</w:t>
            </w:r>
          </w:p>
        </w:tc>
      </w:tr>
      <w:tr w:rsidR="00B274BF" w:rsidRPr="00FA24A6" w:rsidTr="00FA24A6">
        <w:tc>
          <w:tcPr>
            <w:tcW w:w="2500" w:type="pct"/>
            <w:shd w:val="clear" w:color="auto" w:fill="auto"/>
          </w:tcPr>
          <w:p w:rsidR="00B274BF" w:rsidRPr="00FA24A6" w:rsidRDefault="00B274BF" w:rsidP="0009779B">
            <w:r w:rsidRPr="00FA24A6">
              <w:t>Zeecontainers m</w:t>
            </w:r>
            <w:r w:rsidRPr="00FA24A6">
              <w:rPr>
                <w:vertAlign w:val="superscript"/>
              </w:rPr>
              <w:t>2</w:t>
            </w:r>
            <w:r w:rsidRPr="00FA24A6">
              <w:t>/maand</w:t>
            </w:r>
          </w:p>
        </w:tc>
        <w:tc>
          <w:tcPr>
            <w:tcW w:w="833" w:type="pct"/>
            <w:shd w:val="clear" w:color="auto" w:fill="auto"/>
          </w:tcPr>
          <w:p w:rsidR="00B274BF" w:rsidRPr="00FA24A6" w:rsidRDefault="00B274BF" w:rsidP="0009779B">
            <w:r w:rsidRPr="00FA24A6">
              <w:t>€</w:t>
            </w:r>
            <w:r w:rsidR="007F44F2" w:rsidRPr="00FA24A6">
              <w:t xml:space="preserve"> </w:t>
            </w:r>
            <w:r w:rsidRPr="00FA24A6">
              <w:t>5,40</w:t>
            </w:r>
          </w:p>
        </w:tc>
        <w:tc>
          <w:tcPr>
            <w:tcW w:w="834" w:type="pct"/>
            <w:shd w:val="clear" w:color="auto" w:fill="auto"/>
          </w:tcPr>
          <w:p w:rsidR="00B274BF" w:rsidRPr="00FA24A6" w:rsidRDefault="00B274BF" w:rsidP="0009779B">
            <w:r w:rsidRPr="00FA24A6">
              <w:t>0</w:t>
            </w:r>
          </w:p>
        </w:tc>
        <w:tc>
          <w:tcPr>
            <w:tcW w:w="834" w:type="pct"/>
            <w:shd w:val="clear" w:color="auto" w:fill="auto"/>
          </w:tcPr>
          <w:p w:rsidR="00B274BF" w:rsidRPr="00FA24A6" w:rsidRDefault="00B274BF" w:rsidP="0009779B">
            <w:r w:rsidRPr="00FA24A6">
              <w:t>0</w:t>
            </w:r>
          </w:p>
        </w:tc>
      </w:tr>
      <w:tr w:rsidR="00B274BF" w:rsidRPr="00FA24A6" w:rsidTr="00FA24A6">
        <w:tc>
          <w:tcPr>
            <w:tcW w:w="2500" w:type="pct"/>
            <w:shd w:val="clear" w:color="auto" w:fill="auto"/>
          </w:tcPr>
          <w:p w:rsidR="00B274BF" w:rsidRPr="00FA24A6" w:rsidRDefault="00B274BF" w:rsidP="0009779B">
            <w:r w:rsidRPr="00FA24A6">
              <w:t>Rolsteigers per plaatsing</w:t>
            </w:r>
          </w:p>
        </w:tc>
        <w:tc>
          <w:tcPr>
            <w:tcW w:w="833" w:type="pct"/>
            <w:shd w:val="clear" w:color="auto" w:fill="auto"/>
          </w:tcPr>
          <w:p w:rsidR="00B274BF" w:rsidRPr="00FA24A6" w:rsidRDefault="00B274BF" w:rsidP="0009779B">
            <w:r w:rsidRPr="00FA24A6">
              <w:t>€ 21,90</w:t>
            </w:r>
          </w:p>
        </w:tc>
        <w:tc>
          <w:tcPr>
            <w:tcW w:w="834" w:type="pct"/>
            <w:shd w:val="clear" w:color="auto" w:fill="auto"/>
          </w:tcPr>
          <w:p w:rsidR="00B274BF" w:rsidRPr="00FA24A6" w:rsidRDefault="00B274BF" w:rsidP="0009779B">
            <w:r w:rsidRPr="00FA24A6">
              <w:t>0</w:t>
            </w:r>
          </w:p>
        </w:tc>
        <w:tc>
          <w:tcPr>
            <w:tcW w:w="834" w:type="pct"/>
            <w:shd w:val="clear" w:color="auto" w:fill="auto"/>
          </w:tcPr>
          <w:p w:rsidR="00B274BF" w:rsidRPr="00FA24A6" w:rsidRDefault="00B274BF" w:rsidP="0009779B">
            <w:r w:rsidRPr="00FA24A6">
              <w:t>0</w:t>
            </w:r>
          </w:p>
        </w:tc>
      </w:tr>
      <w:tr w:rsidR="00B274BF" w:rsidRPr="00FA24A6" w:rsidTr="00FA24A6">
        <w:tc>
          <w:tcPr>
            <w:tcW w:w="2500" w:type="pct"/>
            <w:shd w:val="clear" w:color="auto" w:fill="auto"/>
          </w:tcPr>
          <w:p w:rsidR="00B274BF" w:rsidRPr="00FA24A6" w:rsidRDefault="00B274BF" w:rsidP="0009779B">
            <w:r w:rsidRPr="00FA24A6">
              <w:t>Vaste steigers</w:t>
            </w:r>
          </w:p>
        </w:tc>
        <w:tc>
          <w:tcPr>
            <w:tcW w:w="833" w:type="pct"/>
            <w:shd w:val="clear" w:color="auto" w:fill="auto"/>
          </w:tcPr>
          <w:p w:rsidR="00B274BF" w:rsidRPr="00FA24A6" w:rsidRDefault="00B274BF" w:rsidP="0009779B">
            <w:r w:rsidRPr="00FA24A6">
              <w:t>€</w:t>
            </w:r>
            <w:r w:rsidR="007F44F2" w:rsidRPr="00FA24A6">
              <w:t xml:space="preserve"> </w:t>
            </w:r>
            <w:r w:rsidRPr="00FA24A6">
              <w:t>5,40</w:t>
            </w:r>
          </w:p>
        </w:tc>
        <w:tc>
          <w:tcPr>
            <w:tcW w:w="834" w:type="pct"/>
            <w:shd w:val="clear" w:color="auto" w:fill="auto"/>
          </w:tcPr>
          <w:p w:rsidR="00B274BF" w:rsidRPr="00FA24A6" w:rsidRDefault="00B274BF" w:rsidP="0009779B">
            <w:r w:rsidRPr="00FA24A6">
              <w:t>0</w:t>
            </w:r>
          </w:p>
        </w:tc>
        <w:tc>
          <w:tcPr>
            <w:tcW w:w="834" w:type="pct"/>
            <w:shd w:val="clear" w:color="auto" w:fill="auto"/>
          </w:tcPr>
          <w:p w:rsidR="00B274BF" w:rsidRPr="00FA24A6" w:rsidRDefault="00B274BF" w:rsidP="0009779B">
            <w:r w:rsidRPr="00FA24A6">
              <w:t>0</w:t>
            </w:r>
          </w:p>
        </w:tc>
      </w:tr>
    </w:tbl>
    <w:p w:rsidR="00B274BF" w:rsidRPr="00FA24A6" w:rsidRDefault="00B274BF" w:rsidP="0009779B"/>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45"/>
        <w:gridCol w:w="1369"/>
        <w:gridCol w:w="1369"/>
        <w:gridCol w:w="1368"/>
      </w:tblGrid>
      <w:tr w:rsidR="00B274BF" w:rsidRPr="00FA24A6" w:rsidTr="00FA24A6">
        <w:tc>
          <w:tcPr>
            <w:tcW w:w="2481" w:type="pct"/>
            <w:shd w:val="clear" w:color="auto" w:fill="auto"/>
          </w:tcPr>
          <w:p w:rsidR="00B274BF" w:rsidRPr="00FA24A6" w:rsidRDefault="00B274BF" w:rsidP="0009779B">
            <w:pPr>
              <w:rPr>
                <w:b/>
              </w:rPr>
            </w:pPr>
            <w:r w:rsidRPr="00FA24A6">
              <w:rPr>
                <w:b/>
              </w:rPr>
              <w:t>Tarieventabel leges (2017)</w:t>
            </w:r>
          </w:p>
        </w:tc>
        <w:tc>
          <w:tcPr>
            <w:tcW w:w="840" w:type="pct"/>
            <w:shd w:val="clear" w:color="auto" w:fill="auto"/>
          </w:tcPr>
          <w:p w:rsidR="00B274BF" w:rsidRPr="00FA24A6" w:rsidRDefault="00B274BF" w:rsidP="0009779B">
            <w:pPr>
              <w:rPr>
                <w:b/>
              </w:rPr>
            </w:pPr>
            <w:r w:rsidRPr="00FA24A6">
              <w:rPr>
                <w:b/>
              </w:rPr>
              <w:t>Groningen</w:t>
            </w:r>
          </w:p>
        </w:tc>
        <w:tc>
          <w:tcPr>
            <w:tcW w:w="840" w:type="pct"/>
            <w:shd w:val="clear" w:color="auto" w:fill="auto"/>
          </w:tcPr>
          <w:p w:rsidR="00B274BF" w:rsidRPr="00FA24A6" w:rsidRDefault="00B274BF" w:rsidP="0009779B">
            <w:pPr>
              <w:rPr>
                <w:b/>
              </w:rPr>
            </w:pPr>
            <w:r w:rsidRPr="00FA24A6">
              <w:rPr>
                <w:b/>
              </w:rPr>
              <w:t>Haren</w:t>
            </w:r>
          </w:p>
        </w:tc>
        <w:tc>
          <w:tcPr>
            <w:tcW w:w="840" w:type="pct"/>
            <w:shd w:val="clear" w:color="auto" w:fill="auto"/>
          </w:tcPr>
          <w:p w:rsidR="00B274BF" w:rsidRPr="00FA24A6" w:rsidRDefault="00B274BF" w:rsidP="0009779B">
            <w:pPr>
              <w:rPr>
                <w:b/>
              </w:rPr>
            </w:pPr>
            <w:r w:rsidRPr="00FA24A6">
              <w:rPr>
                <w:b/>
              </w:rPr>
              <w:t>Ten Boer</w:t>
            </w:r>
          </w:p>
        </w:tc>
      </w:tr>
      <w:tr w:rsidR="00B274BF" w:rsidRPr="00FA24A6" w:rsidTr="00FA24A6">
        <w:tc>
          <w:tcPr>
            <w:tcW w:w="2481" w:type="pct"/>
            <w:shd w:val="clear" w:color="auto" w:fill="auto"/>
          </w:tcPr>
          <w:p w:rsidR="00B274BF" w:rsidRPr="00FA24A6" w:rsidRDefault="00B274BF" w:rsidP="00DB6481">
            <w:r w:rsidRPr="00FA24A6">
              <w:t xml:space="preserve">1 </w:t>
            </w:r>
            <w:r w:rsidR="00DB6481" w:rsidRPr="00FA24A6">
              <w:t>kansspelautomaat</w:t>
            </w:r>
            <w:r w:rsidRPr="00FA24A6">
              <w:t xml:space="preserve"> /</w:t>
            </w:r>
            <w:r w:rsidR="00DB6481" w:rsidRPr="00FA24A6">
              <w:t xml:space="preserve"> </w:t>
            </w:r>
            <w:r w:rsidRPr="00FA24A6">
              <w:t xml:space="preserve">12 </w:t>
            </w:r>
            <w:r w:rsidR="00DB6481" w:rsidRPr="00FA24A6">
              <w:t>maanden</w:t>
            </w:r>
          </w:p>
        </w:tc>
        <w:tc>
          <w:tcPr>
            <w:tcW w:w="840" w:type="pct"/>
            <w:shd w:val="clear" w:color="auto" w:fill="auto"/>
          </w:tcPr>
          <w:p w:rsidR="00B274BF" w:rsidRPr="00FA24A6" w:rsidRDefault="00B274BF" w:rsidP="0009779B">
            <w:r w:rsidRPr="00FA24A6">
              <w:t>€ 39,63</w:t>
            </w:r>
          </w:p>
        </w:tc>
        <w:tc>
          <w:tcPr>
            <w:tcW w:w="840" w:type="pct"/>
            <w:shd w:val="clear" w:color="auto" w:fill="auto"/>
          </w:tcPr>
          <w:p w:rsidR="00B274BF" w:rsidRPr="00FA24A6" w:rsidRDefault="00B274BF" w:rsidP="0009779B">
            <w:r w:rsidRPr="00FA24A6">
              <w:t>€ 56,50</w:t>
            </w:r>
          </w:p>
        </w:tc>
        <w:tc>
          <w:tcPr>
            <w:tcW w:w="840" w:type="pct"/>
            <w:shd w:val="clear" w:color="auto" w:fill="auto"/>
          </w:tcPr>
          <w:p w:rsidR="00B274BF" w:rsidRPr="00FA24A6" w:rsidRDefault="00B274BF" w:rsidP="0009779B">
            <w:r w:rsidRPr="00FA24A6">
              <w:t>€ 56,50</w:t>
            </w:r>
          </w:p>
        </w:tc>
      </w:tr>
      <w:tr w:rsidR="00B274BF" w:rsidRPr="00FA24A6" w:rsidTr="00FA24A6">
        <w:tc>
          <w:tcPr>
            <w:tcW w:w="2481" w:type="pct"/>
            <w:shd w:val="clear" w:color="auto" w:fill="auto"/>
          </w:tcPr>
          <w:p w:rsidR="00B274BF" w:rsidRPr="00FA24A6" w:rsidRDefault="00B274BF" w:rsidP="0009779B">
            <w:r w:rsidRPr="00FA24A6">
              <w:t>Behandeling vergunning kansspelen</w:t>
            </w:r>
          </w:p>
        </w:tc>
        <w:tc>
          <w:tcPr>
            <w:tcW w:w="840" w:type="pct"/>
            <w:shd w:val="clear" w:color="auto" w:fill="auto"/>
          </w:tcPr>
          <w:p w:rsidR="00B274BF" w:rsidRPr="00FA24A6" w:rsidRDefault="00B274BF" w:rsidP="0009779B">
            <w:r w:rsidRPr="00FA24A6">
              <w:t>€ 11,00</w:t>
            </w:r>
          </w:p>
        </w:tc>
        <w:tc>
          <w:tcPr>
            <w:tcW w:w="840" w:type="pct"/>
            <w:shd w:val="clear" w:color="auto" w:fill="auto"/>
          </w:tcPr>
          <w:p w:rsidR="00B274BF" w:rsidRPr="00FA24A6" w:rsidRDefault="00B274BF" w:rsidP="0009779B">
            <w:r w:rsidRPr="00FA24A6">
              <w:t>€ 13,24</w:t>
            </w:r>
          </w:p>
        </w:tc>
        <w:tc>
          <w:tcPr>
            <w:tcW w:w="840" w:type="pct"/>
            <w:shd w:val="clear" w:color="auto" w:fill="auto"/>
          </w:tcPr>
          <w:p w:rsidR="00B274BF" w:rsidRPr="00FA24A6" w:rsidRDefault="00B274BF" w:rsidP="0009779B">
            <w:r w:rsidRPr="00FA24A6">
              <w:t>€ 15,25</w:t>
            </w:r>
          </w:p>
        </w:tc>
      </w:tr>
      <w:tr w:rsidR="00B274BF" w:rsidRPr="00FA24A6" w:rsidTr="00FA24A6">
        <w:tc>
          <w:tcPr>
            <w:tcW w:w="2481" w:type="pct"/>
            <w:shd w:val="clear" w:color="auto" w:fill="auto"/>
          </w:tcPr>
          <w:p w:rsidR="00B274BF" w:rsidRPr="00FA24A6" w:rsidRDefault="00B274BF" w:rsidP="0009779B">
            <w:r w:rsidRPr="00FA24A6">
              <w:t>Aanvraag vergunning telecommunicatie</w:t>
            </w:r>
          </w:p>
        </w:tc>
        <w:tc>
          <w:tcPr>
            <w:tcW w:w="840" w:type="pct"/>
            <w:shd w:val="clear" w:color="auto" w:fill="auto"/>
          </w:tcPr>
          <w:p w:rsidR="00B274BF" w:rsidRPr="00FA24A6" w:rsidRDefault="00B274BF" w:rsidP="0009779B">
            <w:r w:rsidRPr="00FA24A6">
              <w:t>€ 443,50</w:t>
            </w:r>
          </w:p>
        </w:tc>
        <w:tc>
          <w:tcPr>
            <w:tcW w:w="840" w:type="pct"/>
            <w:shd w:val="clear" w:color="auto" w:fill="auto"/>
          </w:tcPr>
          <w:p w:rsidR="00B274BF" w:rsidRPr="00FA24A6" w:rsidRDefault="00B274BF" w:rsidP="0009779B">
            <w:r w:rsidRPr="00FA24A6">
              <w:t>€ 170,47</w:t>
            </w:r>
          </w:p>
        </w:tc>
        <w:tc>
          <w:tcPr>
            <w:tcW w:w="840" w:type="pct"/>
            <w:shd w:val="clear" w:color="auto" w:fill="auto"/>
          </w:tcPr>
          <w:p w:rsidR="00B274BF" w:rsidRPr="00FA24A6" w:rsidRDefault="00B274BF" w:rsidP="0009779B">
            <w:r w:rsidRPr="00FA24A6">
              <w:t>€ 443,50</w:t>
            </w:r>
          </w:p>
        </w:tc>
      </w:tr>
      <w:tr w:rsidR="00B274BF" w:rsidRPr="00FA24A6" w:rsidTr="00FA24A6">
        <w:tc>
          <w:tcPr>
            <w:tcW w:w="2481" w:type="pct"/>
            <w:shd w:val="clear" w:color="auto" w:fill="auto"/>
          </w:tcPr>
          <w:p w:rsidR="00B274BF" w:rsidRPr="00FA24A6" w:rsidRDefault="00B274BF" w:rsidP="00940759">
            <w:r w:rsidRPr="00FA24A6">
              <w:t>Omgevingsv</w:t>
            </w:r>
            <w:r w:rsidR="00940759" w:rsidRPr="00FA24A6">
              <w:t>e</w:t>
            </w:r>
            <w:r w:rsidRPr="00FA24A6">
              <w:t>rg</w:t>
            </w:r>
            <w:r w:rsidR="00940759" w:rsidRPr="00FA24A6">
              <w:t>unning</w:t>
            </w:r>
            <w:r w:rsidRPr="00FA24A6">
              <w:t xml:space="preserve"> aanlegactiviteit </w:t>
            </w:r>
            <w:r w:rsidR="00940759" w:rsidRPr="00FA24A6">
              <w:t>Wabo</w:t>
            </w:r>
          </w:p>
        </w:tc>
        <w:tc>
          <w:tcPr>
            <w:tcW w:w="840" w:type="pct"/>
            <w:shd w:val="clear" w:color="auto" w:fill="auto"/>
          </w:tcPr>
          <w:p w:rsidR="00B274BF" w:rsidRPr="00FA24A6" w:rsidRDefault="00B274BF" w:rsidP="0009779B">
            <w:r w:rsidRPr="00FA24A6">
              <w:t xml:space="preserve">€ 124,50 </w:t>
            </w:r>
          </w:p>
        </w:tc>
        <w:tc>
          <w:tcPr>
            <w:tcW w:w="840" w:type="pct"/>
            <w:shd w:val="clear" w:color="auto" w:fill="auto"/>
          </w:tcPr>
          <w:p w:rsidR="00B274BF" w:rsidRPr="00FA24A6" w:rsidRDefault="00B274BF" w:rsidP="0009779B">
            <w:r w:rsidRPr="00FA24A6">
              <w:t>€ 422,80</w:t>
            </w:r>
          </w:p>
        </w:tc>
        <w:tc>
          <w:tcPr>
            <w:tcW w:w="840" w:type="pct"/>
            <w:shd w:val="clear" w:color="auto" w:fill="auto"/>
          </w:tcPr>
          <w:p w:rsidR="00B274BF" w:rsidRPr="00FA24A6" w:rsidRDefault="00B274BF" w:rsidP="0009779B">
            <w:r w:rsidRPr="00FA24A6">
              <w:t>€ 81,70</w:t>
            </w:r>
          </w:p>
        </w:tc>
      </w:tr>
      <w:tr w:rsidR="00B274BF" w:rsidRPr="00FA24A6" w:rsidTr="00FA24A6">
        <w:tc>
          <w:tcPr>
            <w:tcW w:w="2481" w:type="pct"/>
            <w:shd w:val="clear" w:color="auto" w:fill="auto"/>
          </w:tcPr>
          <w:p w:rsidR="00B274BF" w:rsidRPr="00FA24A6" w:rsidRDefault="00B274BF" w:rsidP="0009779B">
            <w:r w:rsidRPr="00FA24A6">
              <w:t>Aanvraag vergunning handelsreclame</w:t>
            </w:r>
          </w:p>
        </w:tc>
        <w:tc>
          <w:tcPr>
            <w:tcW w:w="840" w:type="pct"/>
            <w:shd w:val="clear" w:color="auto" w:fill="auto"/>
          </w:tcPr>
          <w:p w:rsidR="00B274BF" w:rsidRPr="00FA24A6" w:rsidRDefault="00B274BF" w:rsidP="0009779B">
            <w:r w:rsidRPr="00FA24A6">
              <w:t>€ 133,50</w:t>
            </w:r>
          </w:p>
        </w:tc>
        <w:tc>
          <w:tcPr>
            <w:tcW w:w="840" w:type="pct"/>
            <w:shd w:val="clear" w:color="auto" w:fill="auto"/>
          </w:tcPr>
          <w:p w:rsidR="00B274BF" w:rsidRPr="00FA24A6" w:rsidRDefault="00B274BF" w:rsidP="0009779B">
            <w:r w:rsidRPr="00FA24A6">
              <w:t>€ 0</w:t>
            </w:r>
          </w:p>
        </w:tc>
        <w:tc>
          <w:tcPr>
            <w:tcW w:w="840" w:type="pct"/>
            <w:shd w:val="clear" w:color="auto" w:fill="auto"/>
          </w:tcPr>
          <w:p w:rsidR="00B274BF" w:rsidRPr="00FA24A6" w:rsidRDefault="00B274BF" w:rsidP="0009779B">
            <w:r w:rsidRPr="00FA24A6">
              <w:t>€ 22,00</w:t>
            </w:r>
          </w:p>
        </w:tc>
      </w:tr>
      <w:tr w:rsidR="00B274BF" w:rsidRPr="00FA24A6" w:rsidTr="00FA24A6">
        <w:tc>
          <w:tcPr>
            <w:tcW w:w="2481" w:type="pct"/>
            <w:shd w:val="clear" w:color="auto" w:fill="auto"/>
          </w:tcPr>
          <w:p w:rsidR="00B274BF" w:rsidRPr="00FA24A6" w:rsidRDefault="00B274BF" w:rsidP="00940759">
            <w:r w:rsidRPr="00FA24A6">
              <w:t>Aanvraag drank</w:t>
            </w:r>
            <w:r w:rsidR="00E64597" w:rsidRPr="00FA24A6">
              <w:t>-</w:t>
            </w:r>
            <w:r w:rsidRPr="00FA24A6">
              <w:t xml:space="preserve"> en horecaexpl</w:t>
            </w:r>
            <w:r w:rsidR="00940759" w:rsidRPr="00FA24A6">
              <w:t>oitatie</w:t>
            </w:r>
            <w:r w:rsidRPr="00FA24A6">
              <w:t>verg</w:t>
            </w:r>
            <w:r w:rsidR="00940759" w:rsidRPr="00FA24A6">
              <w:t>unning</w:t>
            </w:r>
          </w:p>
        </w:tc>
        <w:tc>
          <w:tcPr>
            <w:tcW w:w="840" w:type="pct"/>
            <w:shd w:val="clear" w:color="auto" w:fill="auto"/>
          </w:tcPr>
          <w:p w:rsidR="00B274BF" w:rsidRPr="00FA24A6" w:rsidRDefault="00B274BF" w:rsidP="0009779B">
            <w:r w:rsidRPr="00FA24A6">
              <w:t>€ 585,30</w:t>
            </w:r>
          </w:p>
        </w:tc>
        <w:tc>
          <w:tcPr>
            <w:tcW w:w="840" w:type="pct"/>
            <w:shd w:val="clear" w:color="auto" w:fill="auto"/>
          </w:tcPr>
          <w:p w:rsidR="00B274BF" w:rsidRPr="00FA24A6" w:rsidRDefault="00B274BF" w:rsidP="0009779B">
            <w:r w:rsidRPr="00FA24A6">
              <w:t>€ 268,17</w:t>
            </w:r>
          </w:p>
        </w:tc>
        <w:tc>
          <w:tcPr>
            <w:tcW w:w="840" w:type="pct"/>
            <w:shd w:val="clear" w:color="auto" w:fill="auto"/>
          </w:tcPr>
          <w:p w:rsidR="00B274BF" w:rsidRPr="00FA24A6" w:rsidRDefault="00B274BF" w:rsidP="0009779B">
            <w:r w:rsidRPr="00FA24A6">
              <w:t>€ 297,00</w:t>
            </w:r>
          </w:p>
        </w:tc>
      </w:tr>
      <w:tr w:rsidR="00B274BF" w:rsidRPr="00FA24A6" w:rsidTr="00FA24A6">
        <w:tc>
          <w:tcPr>
            <w:tcW w:w="2481" w:type="pct"/>
            <w:shd w:val="clear" w:color="auto" w:fill="auto"/>
          </w:tcPr>
          <w:p w:rsidR="00B274BF" w:rsidRPr="00FA24A6" w:rsidRDefault="00B274BF" w:rsidP="0009779B">
            <w:r w:rsidRPr="00FA24A6">
              <w:t>Aanvraag vergunning escortbedrijf</w:t>
            </w:r>
          </w:p>
        </w:tc>
        <w:tc>
          <w:tcPr>
            <w:tcW w:w="840" w:type="pct"/>
            <w:shd w:val="clear" w:color="auto" w:fill="auto"/>
          </w:tcPr>
          <w:p w:rsidR="00B274BF" w:rsidRPr="00FA24A6" w:rsidRDefault="00B274BF" w:rsidP="0009779B">
            <w:r w:rsidRPr="00FA24A6">
              <w:t>€ 1.912,00</w:t>
            </w:r>
          </w:p>
        </w:tc>
        <w:tc>
          <w:tcPr>
            <w:tcW w:w="840" w:type="pct"/>
            <w:shd w:val="clear" w:color="auto" w:fill="auto"/>
          </w:tcPr>
          <w:p w:rsidR="00B274BF" w:rsidRPr="00FA24A6" w:rsidRDefault="00B274BF" w:rsidP="0009779B">
            <w:r w:rsidRPr="00FA24A6">
              <w:t>€ 283,36</w:t>
            </w:r>
          </w:p>
        </w:tc>
        <w:tc>
          <w:tcPr>
            <w:tcW w:w="840" w:type="pct"/>
            <w:shd w:val="clear" w:color="auto" w:fill="auto"/>
          </w:tcPr>
          <w:p w:rsidR="00B274BF" w:rsidRPr="00FA24A6" w:rsidRDefault="00B274BF" w:rsidP="0009779B">
            <w:r w:rsidRPr="00FA24A6">
              <w:t>€ 1.195,75</w:t>
            </w:r>
          </w:p>
        </w:tc>
      </w:tr>
    </w:tbl>
    <w:p w:rsidR="00B274BF" w:rsidRPr="00FA24A6" w:rsidRDefault="00B274BF" w:rsidP="0009779B"/>
    <w:p w:rsidR="00B274BF" w:rsidRPr="0009779B" w:rsidRDefault="00E64597" w:rsidP="0009779B">
      <w:r w:rsidRPr="00FA24A6">
        <w:t>N</w:t>
      </w:r>
      <w:r w:rsidR="00B274BF" w:rsidRPr="00FA24A6">
        <w:t xml:space="preserve">aar verwachting </w:t>
      </w:r>
      <w:r w:rsidRPr="00FA24A6">
        <w:t xml:space="preserve">zou </w:t>
      </w:r>
      <w:r w:rsidR="00B274BF" w:rsidRPr="00FA24A6">
        <w:t xml:space="preserve">de belastingdruk voor bedrijven in Haren en Ten Boer in geringe mate toenemen indien de tarieven van </w:t>
      </w:r>
      <w:r w:rsidRPr="00FA24A6">
        <w:t xml:space="preserve">de huidige gemeente </w:t>
      </w:r>
      <w:r w:rsidR="00B274BF" w:rsidRPr="00FA24A6">
        <w:t xml:space="preserve">Groningen </w:t>
      </w:r>
      <w:r w:rsidRPr="00FA24A6">
        <w:t>in de nieuwe</w:t>
      </w:r>
      <w:r>
        <w:t xml:space="preserve"> gemeente van toepassing zouden blijven</w:t>
      </w:r>
      <w:r w:rsidR="00B274BF" w:rsidRPr="0009779B">
        <w:t>. Het is echter aan de nieuwe gemeente om het type belastingen</w:t>
      </w:r>
      <w:r w:rsidR="00CB1DC8">
        <w:t xml:space="preserve"> en</w:t>
      </w:r>
      <w:r w:rsidR="00CB1DC8" w:rsidRPr="0009779B">
        <w:t xml:space="preserve"> </w:t>
      </w:r>
      <w:r w:rsidR="00B274BF" w:rsidRPr="0009779B">
        <w:t>heffingen alsmede de tarieven daarvan te bepalen.</w:t>
      </w:r>
    </w:p>
    <w:p w:rsidR="007A019F" w:rsidRDefault="007A019F" w:rsidP="0009779B"/>
    <w:p w:rsidR="00DB6481" w:rsidRPr="0009779B" w:rsidRDefault="00DB6481" w:rsidP="00DB6481">
      <w:r w:rsidRPr="0009779B">
        <w:t xml:space="preserve">In reactie op de vraag van de </w:t>
      </w:r>
      <w:r w:rsidR="009F25B9">
        <w:t xml:space="preserve">leden van de </w:t>
      </w:r>
      <w:r w:rsidRPr="005046C0">
        <w:rPr>
          <w:b/>
        </w:rPr>
        <w:t>CDA</w:t>
      </w:r>
      <w:r w:rsidRPr="0009779B">
        <w:t xml:space="preserve">-fractie om te onderbouwen waarom de financiële positie van de gemeente Haren een gedwongen samenvoeging met Groningen en Ten Boer </w:t>
      </w:r>
      <w:r>
        <w:t>zou rechtvaardigen,</w:t>
      </w:r>
      <w:r w:rsidRPr="0009779B">
        <w:t xml:space="preserve"> hecht </w:t>
      </w:r>
      <w:r>
        <w:t xml:space="preserve">ik </w:t>
      </w:r>
      <w:r w:rsidRPr="0009779B">
        <w:t xml:space="preserve">eraan te </w:t>
      </w:r>
      <w:r>
        <w:t xml:space="preserve">benadrukken </w:t>
      </w:r>
      <w:r w:rsidRPr="0009779B">
        <w:t xml:space="preserve">dat </w:t>
      </w:r>
      <w:r>
        <w:t xml:space="preserve">de financiële positie van Haren </w:t>
      </w:r>
      <w:r w:rsidR="00935992" w:rsidRPr="00935992">
        <w:t xml:space="preserve">zwak was en dat het herstel daarvan weliswaar ingezet is, zoals de begroting 2018 aangeeft, maar dat de realisatie van de verbetering nog niet aangetoond is. </w:t>
      </w:r>
      <w:r w:rsidR="00935992">
        <w:t>Daarnaast</w:t>
      </w:r>
      <w:r w:rsidR="00935992" w:rsidRPr="00935992">
        <w:t xml:space="preserve"> is de financiële positie </w:t>
      </w:r>
      <w:r>
        <w:t>niet de enige reden waarom Haren deel uitmaakt van de voorgestelde samenvoeging</w:t>
      </w:r>
      <w:r w:rsidRPr="0009779B">
        <w:t xml:space="preserve">. </w:t>
      </w:r>
      <w:r>
        <w:t xml:space="preserve">Zoals elders in deze nota </w:t>
      </w:r>
      <w:r w:rsidR="00CB1DC8">
        <w:t>is toegelicht</w:t>
      </w:r>
      <w:r>
        <w:t xml:space="preserve">, </w:t>
      </w:r>
      <w:r w:rsidRPr="0009779B">
        <w:t xml:space="preserve">gaat </w:t>
      </w:r>
      <w:r>
        <w:t xml:space="preserve">het </w:t>
      </w:r>
      <w:r w:rsidRPr="0009779B">
        <w:t>om een combinatie van factoren</w:t>
      </w:r>
      <w:r w:rsidR="00935992">
        <w:t>.</w:t>
      </w:r>
    </w:p>
    <w:p w:rsidR="00DB6481" w:rsidRPr="0009779B" w:rsidRDefault="00DB6481" w:rsidP="0009779B"/>
    <w:p w:rsidR="00ED66F9" w:rsidRDefault="00ED66F9" w:rsidP="00ED66F9">
      <w:r>
        <w:t xml:space="preserve">De leden van de </w:t>
      </w:r>
      <w:r w:rsidRPr="005046C0">
        <w:rPr>
          <w:b/>
        </w:rPr>
        <w:t>SP</w:t>
      </w:r>
      <w:r>
        <w:t xml:space="preserve">-fractie </w:t>
      </w:r>
      <w:r w:rsidR="00B43F87">
        <w:t>vragen waarop de verwachting is gebaseerd dat de structurele verlaging van de algemene uitkering wordt opgevangen door de te verwachten vermindering van de bestuurskosten en andere efficiencyvoordelen van de nieuwe organisatie</w:t>
      </w:r>
      <w:r>
        <w:t xml:space="preserve">. De verlaging van de algemene uitkering houdt vooral verband met het wegvallen van het vaste bedrag dat iedere gemeente ontvangt. In de huidige situatie ontvangt elk van de drie gemeenten dit bedrag; na de herindeling is dat alleen de nieuwe gemeente. De verwachting dat tegenover deze verlaging een structurele financiële besparing staat, is </w:t>
      </w:r>
      <w:r w:rsidR="00B43F87">
        <w:t xml:space="preserve">onder meer </w:t>
      </w:r>
      <w:r>
        <w:t xml:space="preserve">gebaseerd op het gegeven dat de nieuwe gemeente minder bestuurders zal tellen (van drie naar één burgemeester, gemeentesecretaris en griffier; minder wethouders). </w:t>
      </w:r>
      <w:r w:rsidR="00B43F87" w:rsidRPr="00B43F87">
        <w:t xml:space="preserve">De </w:t>
      </w:r>
      <w:r w:rsidR="00A123F6">
        <w:t>mogelijke</w:t>
      </w:r>
      <w:r w:rsidR="00075DB3">
        <w:t xml:space="preserve"> </w:t>
      </w:r>
      <w:r w:rsidR="00B43F87" w:rsidRPr="00B43F87">
        <w:t xml:space="preserve">efficiencyvoordelen van de nieuwe organisatie houden verband met het samenvoegen van de verschillende organisaties en het kunnen voorzien in meer specialistische functies. In welke mate dergelijke </w:t>
      </w:r>
      <w:r w:rsidR="00075DB3">
        <w:t>v</w:t>
      </w:r>
      <w:r w:rsidR="00B43F87" w:rsidRPr="00B43F87">
        <w:t>oordelen worden behaald, hangt vanzelfsprekend af van de sturing daarop door de nieuwe gemeente.</w:t>
      </w:r>
    </w:p>
    <w:p w:rsidR="00ED66F9" w:rsidRDefault="00ED66F9" w:rsidP="00ED66F9"/>
    <w:p w:rsidR="007A019F" w:rsidRDefault="00ED66F9" w:rsidP="00ED66F9">
      <w:r>
        <w:t xml:space="preserve">Op grond van de maatstaf herindeling krijgen de gemeenten voor de kosten om de herindeling te realiseren (frictiekosten) een uitkering uit het gemeentefonds, die over een periode van vijf jaar wordt uitgekeerd. Het vorige kabinet heeft deze maatstaf verruimd. In dit geval gaat het om een uitkering van in totaal € 11.067.502. </w:t>
      </w:r>
      <w:r w:rsidR="00B43F87" w:rsidRPr="00B43F87">
        <w:t xml:space="preserve">Uit het oordeel van de provincie als financieel toezichthouder blijkt daarnaast dat de betrokken gemeenten over voldoende weerstandscapaciteit beschikken om eventuele risico’s af te dekken. </w:t>
      </w:r>
      <w:r>
        <w:t xml:space="preserve">Het ligt </w:t>
      </w:r>
      <w:r w:rsidR="00B43F87">
        <w:t xml:space="preserve">dan ook </w:t>
      </w:r>
      <w:r>
        <w:t>niet in de lijn der verwachting dat er incidentele of structurele financiële tekorten ontstaan als direct gevolg van de herindeling.</w:t>
      </w:r>
    </w:p>
    <w:p w:rsidR="00ED66F9" w:rsidRDefault="00ED66F9" w:rsidP="00ED66F9"/>
    <w:p w:rsidR="00B43F87" w:rsidRDefault="00B43F87" w:rsidP="00ED66F9"/>
    <w:p w:rsidR="00B43F87" w:rsidRDefault="008D72F4" w:rsidP="008D72F4">
      <w:r>
        <w:t>De minister van Binnenlandse Zaken en Koninkrijksrelaties,</w:t>
      </w:r>
      <w:r>
        <w:br/>
      </w:r>
      <w:r>
        <w:br/>
      </w:r>
      <w:r>
        <w:br/>
      </w:r>
      <w:r>
        <w:br/>
      </w:r>
      <w:r>
        <w:br/>
      </w:r>
    </w:p>
    <w:p w:rsidR="008D72F4" w:rsidRDefault="008D72F4" w:rsidP="008D72F4">
      <w:r>
        <w:t>drs. K.H. Ollongren</w:t>
      </w:r>
    </w:p>
    <w:p w:rsidR="008D72F4" w:rsidRDefault="008D72F4" w:rsidP="0009779B"/>
    <w:p w:rsidR="008D72F4" w:rsidRPr="0009779B" w:rsidRDefault="008D72F4" w:rsidP="0009779B"/>
    <w:p w:rsidR="009B0FBE" w:rsidRPr="008D72F4" w:rsidRDefault="009B0FBE" w:rsidP="008D72F4">
      <w:pPr>
        <w:pStyle w:val="Kop1"/>
      </w:pPr>
      <w:r w:rsidRPr="008D72F4">
        <w:t>Bijlage</w:t>
      </w:r>
      <w:r w:rsidR="008D72F4">
        <w:t>:</w:t>
      </w:r>
      <w:r w:rsidRPr="008D72F4">
        <w:t xml:space="preserve"> Overzicht samenwerkingsverbanden</w:t>
      </w:r>
    </w:p>
    <w:p w:rsidR="009B0FBE" w:rsidRPr="0009779B" w:rsidRDefault="009B0FBE" w:rsidP="0009779B"/>
    <w:p w:rsidR="009B0FBE" w:rsidRPr="008D72F4" w:rsidRDefault="009B0FBE" w:rsidP="008D72F4">
      <w:pPr>
        <w:pStyle w:val="Kop2"/>
      </w:pPr>
      <w:r w:rsidRPr="008D72F4">
        <w:t>Gemeenschappelijke samenwerkingsverbanden Groningen, Haren en Ten Boer</w:t>
      </w:r>
    </w:p>
    <w:p w:rsidR="009B0FBE" w:rsidRPr="0009779B" w:rsidRDefault="009B0FBE" w:rsidP="0009779B"/>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3"/>
        <w:gridCol w:w="2138"/>
        <w:gridCol w:w="1582"/>
        <w:gridCol w:w="1453"/>
        <w:gridCol w:w="1901"/>
      </w:tblGrid>
      <w:tr w:rsidR="009B0FBE" w:rsidRPr="0009779B" w:rsidTr="00ED66F9">
        <w:trPr>
          <w:tblHeader/>
        </w:trPr>
        <w:tc>
          <w:tcPr>
            <w:tcW w:w="1024" w:type="pct"/>
            <w:shd w:val="clear" w:color="auto" w:fill="E7E6E6" w:themeFill="background2"/>
          </w:tcPr>
          <w:p w:rsidR="009B0FBE" w:rsidRPr="0009779B" w:rsidRDefault="009B0FBE" w:rsidP="0009779B">
            <w:r w:rsidRPr="0009779B">
              <w:t>Samenwerkings-</w:t>
            </w:r>
            <w:r w:rsidRPr="0009779B">
              <w:br/>
              <w:t>verband</w:t>
            </w:r>
          </w:p>
        </w:tc>
        <w:tc>
          <w:tcPr>
            <w:tcW w:w="1202" w:type="pct"/>
            <w:shd w:val="clear" w:color="auto" w:fill="E7E6E6" w:themeFill="background2"/>
          </w:tcPr>
          <w:p w:rsidR="009B0FBE" w:rsidRPr="0009779B" w:rsidRDefault="009B0FBE" w:rsidP="0009779B">
            <w:r w:rsidRPr="0009779B">
              <w:t>Aard en doel</w:t>
            </w:r>
          </w:p>
        </w:tc>
        <w:tc>
          <w:tcPr>
            <w:tcW w:w="889" w:type="pct"/>
            <w:shd w:val="clear" w:color="auto" w:fill="E7E6E6" w:themeFill="background2"/>
          </w:tcPr>
          <w:p w:rsidR="009B0FBE" w:rsidRPr="0009779B" w:rsidRDefault="009B0FBE" w:rsidP="0009779B">
            <w:r w:rsidRPr="0009779B">
              <w:t>Deelnemers</w:t>
            </w:r>
          </w:p>
        </w:tc>
        <w:tc>
          <w:tcPr>
            <w:tcW w:w="817" w:type="pct"/>
            <w:shd w:val="clear" w:color="auto" w:fill="E7E6E6" w:themeFill="background2"/>
          </w:tcPr>
          <w:p w:rsidR="009B0FBE" w:rsidRPr="0009779B" w:rsidRDefault="009B0FBE" w:rsidP="0009779B">
            <w:r w:rsidRPr="0009779B">
              <w:t>Beleids-</w:t>
            </w:r>
          </w:p>
          <w:p w:rsidR="009B0FBE" w:rsidRPr="0009779B" w:rsidRDefault="009B0FBE" w:rsidP="0009779B">
            <w:r w:rsidRPr="0009779B">
              <w:t>terrein(en)</w:t>
            </w:r>
          </w:p>
        </w:tc>
        <w:tc>
          <w:tcPr>
            <w:tcW w:w="1069" w:type="pct"/>
            <w:shd w:val="clear" w:color="auto" w:fill="E7E6E6" w:themeFill="background2"/>
          </w:tcPr>
          <w:p w:rsidR="009B0FBE" w:rsidRPr="0009779B" w:rsidRDefault="009B0FBE" w:rsidP="0009779B">
            <w:r w:rsidRPr="0009779B">
              <w:t>Juridische vorm</w:t>
            </w:r>
          </w:p>
        </w:tc>
      </w:tr>
      <w:tr w:rsidR="009B0FBE" w:rsidRPr="0009779B" w:rsidTr="00ED66F9">
        <w:tc>
          <w:tcPr>
            <w:tcW w:w="1024" w:type="pct"/>
            <w:shd w:val="clear" w:color="auto" w:fill="auto"/>
          </w:tcPr>
          <w:p w:rsidR="009B0FBE" w:rsidRPr="0009779B" w:rsidRDefault="009B0FBE" w:rsidP="0009779B">
            <w:r w:rsidRPr="0009779B">
              <w:t>Regio Groningen Assen (RGA)</w:t>
            </w:r>
          </w:p>
          <w:p w:rsidR="009B0FBE" w:rsidRPr="0009779B" w:rsidRDefault="009B0FBE" w:rsidP="0009779B"/>
        </w:tc>
        <w:tc>
          <w:tcPr>
            <w:tcW w:w="1202" w:type="pct"/>
            <w:shd w:val="clear" w:color="auto" w:fill="auto"/>
          </w:tcPr>
          <w:p w:rsidR="009B0FBE" w:rsidRPr="0009779B" w:rsidRDefault="009B0FBE" w:rsidP="0009779B">
            <w:r w:rsidRPr="0009779B">
              <w:t>Regionale samenwerking ter versterking van de economie en de gebiedskwaliteit, Infrastructuur en de kwaliteit van stad en omliggende gebieden</w:t>
            </w:r>
          </w:p>
        </w:tc>
        <w:tc>
          <w:tcPr>
            <w:tcW w:w="889" w:type="pct"/>
            <w:shd w:val="clear" w:color="auto" w:fill="auto"/>
          </w:tcPr>
          <w:p w:rsidR="009B0FBE" w:rsidRPr="0009779B" w:rsidRDefault="009B0FBE" w:rsidP="0009779B">
            <w:r w:rsidRPr="0009779B">
              <w:t xml:space="preserve">Provincies Groningen en Drenthe, gemeenten Assen, Bedum, Groningen, Haren, Midden-Groningen, Leek, Noordenveld, Ten Boer, Tynaarlo, Winsum en Zuidhorn. </w:t>
            </w:r>
          </w:p>
        </w:tc>
        <w:tc>
          <w:tcPr>
            <w:tcW w:w="817" w:type="pct"/>
            <w:shd w:val="clear" w:color="auto" w:fill="auto"/>
          </w:tcPr>
          <w:p w:rsidR="009B0FBE" w:rsidRPr="0009779B" w:rsidRDefault="009B0FBE" w:rsidP="0009779B">
            <w:r w:rsidRPr="0009779B">
              <w:t>Economie Mobiliteit/ infrastructuur</w:t>
            </w:r>
          </w:p>
          <w:p w:rsidR="009B0FBE" w:rsidRPr="0009779B" w:rsidRDefault="009B0FBE" w:rsidP="0009779B">
            <w:r w:rsidRPr="0009779B">
              <w:t>Woningbouw</w:t>
            </w:r>
          </w:p>
        </w:tc>
        <w:tc>
          <w:tcPr>
            <w:tcW w:w="1069" w:type="pct"/>
            <w:shd w:val="clear" w:color="auto" w:fill="auto"/>
          </w:tcPr>
          <w:p w:rsidR="009B0FBE" w:rsidRPr="0009779B" w:rsidRDefault="009B0FBE" w:rsidP="0009779B">
            <w:r w:rsidRPr="0009779B">
              <w:t>Privaatrechtelijk</w:t>
            </w:r>
          </w:p>
        </w:tc>
      </w:tr>
      <w:tr w:rsidR="009B0FBE" w:rsidRPr="0009779B" w:rsidTr="00ED66F9">
        <w:tc>
          <w:tcPr>
            <w:tcW w:w="1024" w:type="pct"/>
            <w:shd w:val="clear" w:color="auto" w:fill="auto"/>
          </w:tcPr>
          <w:p w:rsidR="009B0FBE" w:rsidRPr="0009779B" w:rsidRDefault="009B0FBE" w:rsidP="0009779B">
            <w:r w:rsidRPr="0009779B">
              <w:t>Veiligheidsregio</w:t>
            </w:r>
          </w:p>
        </w:tc>
        <w:tc>
          <w:tcPr>
            <w:tcW w:w="1202" w:type="pct"/>
            <w:shd w:val="clear" w:color="auto" w:fill="auto"/>
          </w:tcPr>
          <w:p w:rsidR="009B0FBE" w:rsidRPr="0009779B" w:rsidRDefault="009B0FBE" w:rsidP="0009779B">
            <w:r w:rsidRPr="0009779B">
              <w:t>Uitvoering taken op het gebied van, hulpverlening, rampenbestrijding en regionale brandweer</w:t>
            </w:r>
          </w:p>
        </w:tc>
        <w:tc>
          <w:tcPr>
            <w:tcW w:w="889" w:type="pct"/>
            <w:shd w:val="clear" w:color="auto" w:fill="auto"/>
          </w:tcPr>
          <w:p w:rsidR="009B0FBE" w:rsidRPr="0009779B" w:rsidRDefault="009B0FBE" w:rsidP="0009779B">
            <w:r w:rsidRPr="0009779B">
              <w:t>Alle Groninger gemeenten en provincie Groningen</w:t>
            </w:r>
          </w:p>
        </w:tc>
        <w:tc>
          <w:tcPr>
            <w:tcW w:w="817" w:type="pct"/>
            <w:shd w:val="clear" w:color="auto" w:fill="auto"/>
          </w:tcPr>
          <w:p w:rsidR="009B0FBE" w:rsidRPr="0009779B" w:rsidRDefault="009B0FBE" w:rsidP="0009779B">
            <w:r w:rsidRPr="0009779B">
              <w:t xml:space="preserve">Veiligheid </w:t>
            </w:r>
          </w:p>
        </w:tc>
        <w:tc>
          <w:tcPr>
            <w:tcW w:w="1069" w:type="pct"/>
            <w:shd w:val="clear" w:color="auto" w:fill="auto"/>
          </w:tcPr>
          <w:p w:rsidR="009B0FBE" w:rsidRPr="0009779B" w:rsidRDefault="009B0FBE" w:rsidP="0009779B">
            <w:r w:rsidRPr="0009779B">
              <w:t>Publiekrechtelijk</w:t>
            </w:r>
          </w:p>
        </w:tc>
      </w:tr>
      <w:tr w:rsidR="009B0FBE" w:rsidRPr="0009779B" w:rsidTr="00ED66F9">
        <w:tc>
          <w:tcPr>
            <w:tcW w:w="1024" w:type="pct"/>
            <w:shd w:val="clear" w:color="auto" w:fill="auto"/>
          </w:tcPr>
          <w:p w:rsidR="009B0FBE" w:rsidRPr="0009779B" w:rsidRDefault="009B0FBE" w:rsidP="0009779B">
            <w:r w:rsidRPr="0009779B">
              <w:t>Publieke Gezondheid &amp; Zorg Groningen (GGD)</w:t>
            </w:r>
          </w:p>
        </w:tc>
        <w:tc>
          <w:tcPr>
            <w:tcW w:w="1202" w:type="pct"/>
            <w:shd w:val="clear" w:color="auto" w:fill="auto"/>
          </w:tcPr>
          <w:p w:rsidR="009B0FBE" w:rsidRPr="0009779B" w:rsidRDefault="009B0FBE" w:rsidP="0009779B">
            <w:r w:rsidRPr="0009779B">
              <w:t>Uitvoering van taken op het gebied van gezondheidszorg</w:t>
            </w:r>
          </w:p>
        </w:tc>
        <w:tc>
          <w:tcPr>
            <w:tcW w:w="889" w:type="pct"/>
            <w:shd w:val="clear" w:color="auto" w:fill="auto"/>
          </w:tcPr>
          <w:p w:rsidR="009B0FBE" w:rsidRPr="0009779B" w:rsidRDefault="009B0FBE" w:rsidP="0009779B">
            <w:r w:rsidRPr="0009779B">
              <w:t>Alle Groninger gemeenten en provincie Groningen</w:t>
            </w:r>
          </w:p>
        </w:tc>
        <w:tc>
          <w:tcPr>
            <w:tcW w:w="817" w:type="pct"/>
            <w:shd w:val="clear" w:color="auto" w:fill="auto"/>
          </w:tcPr>
          <w:p w:rsidR="009B0FBE" w:rsidRPr="0009779B" w:rsidRDefault="009B0FBE" w:rsidP="0009779B">
            <w:r w:rsidRPr="0009779B">
              <w:t>Sociaal domein</w:t>
            </w:r>
          </w:p>
        </w:tc>
        <w:tc>
          <w:tcPr>
            <w:tcW w:w="1069" w:type="pct"/>
            <w:shd w:val="clear" w:color="auto" w:fill="auto"/>
          </w:tcPr>
          <w:p w:rsidR="009B0FBE" w:rsidRPr="0009779B" w:rsidRDefault="009B0FBE" w:rsidP="0009779B">
            <w:r w:rsidRPr="0009779B">
              <w:t>Publiekrechtelijk</w:t>
            </w:r>
          </w:p>
        </w:tc>
      </w:tr>
      <w:tr w:rsidR="009B0FBE" w:rsidRPr="0009779B" w:rsidTr="00ED66F9">
        <w:tc>
          <w:tcPr>
            <w:tcW w:w="1024" w:type="pct"/>
            <w:shd w:val="clear" w:color="auto" w:fill="auto"/>
          </w:tcPr>
          <w:p w:rsidR="009B0FBE" w:rsidRPr="0009779B" w:rsidRDefault="009B0FBE" w:rsidP="0009779B">
            <w:r w:rsidRPr="0009779B">
              <w:t>Regionale Inkooporganisatie Groninger Gemeenten</w:t>
            </w:r>
          </w:p>
        </w:tc>
        <w:tc>
          <w:tcPr>
            <w:tcW w:w="1202" w:type="pct"/>
            <w:shd w:val="clear" w:color="auto" w:fill="auto"/>
          </w:tcPr>
          <w:p w:rsidR="009B0FBE" w:rsidRPr="0009779B" w:rsidRDefault="009B0FBE" w:rsidP="0009779B">
            <w:r w:rsidRPr="0009779B">
              <w:t>Gezamenlijke inkoop jeugdzorg. Doel : goede zorg in kopen tegen een betaalbare prijs en de juiste condities.</w:t>
            </w:r>
          </w:p>
        </w:tc>
        <w:tc>
          <w:tcPr>
            <w:tcW w:w="889" w:type="pct"/>
            <w:shd w:val="clear" w:color="auto" w:fill="auto"/>
          </w:tcPr>
          <w:p w:rsidR="009B0FBE" w:rsidRPr="0009779B" w:rsidRDefault="009B0FBE" w:rsidP="0009779B">
            <w:r w:rsidRPr="0009779B">
              <w:t>Alle Groninger gemeenten</w:t>
            </w:r>
          </w:p>
        </w:tc>
        <w:tc>
          <w:tcPr>
            <w:tcW w:w="817" w:type="pct"/>
            <w:shd w:val="clear" w:color="auto" w:fill="auto"/>
          </w:tcPr>
          <w:p w:rsidR="009B0FBE" w:rsidRPr="0009779B" w:rsidRDefault="009B0FBE" w:rsidP="0009779B">
            <w:r w:rsidRPr="0009779B">
              <w:t xml:space="preserve">Sociaal domein </w:t>
            </w:r>
          </w:p>
        </w:tc>
        <w:tc>
          <w:tcPr>
            <w:tcW w:w="1069" w:type="pct"/>
            <w:shd w:val="clear" w:color="auto" w:fill="auto"/>
          </w:tcPr>
          <w:p w:rsidR="009B0FBE" w:rsidRPr="0009779B" w:rsidRDefault="009B0FBE" w:rsidP="0009779B">
            <w:r w:rsidRPr="0009779B">
              <w:t>Publiekrechtelijk</w:t>
            </w:r>
          </w:p>
        </w:tc>
      </w:tr>
      <w:tr w:rsidR="009B0FBE" w:rsidRPr="0009779B" w:rsidTr="00ED66F9">
        <w:tc>
          <w:tcPr>
            <w:tcW w:w="1024" w:type="pct"/>
            <w:shd w:val="clear" w:color="auto" w:fill="auto"/>
          </w:tcPr>
          <w:p w:rsidR="009B0FBE" w:rsidRPr="0009779B" w:rsidRDefault="009B0FBE" w:rsidP="0009779B">
            <w:r w:rsidRPr="0009779B">
              <w:t>Regionale meld- en coördinatiefunctie</w:t>
            </w:r>
          </w:p>
        </w:tc>
        <w:tc>
          <w:tcPr>
            <w:tcW w:w="1202" w:type="pct"/>
            <w:shd w:val="clear" w:color="auto" w:fill="auto"/>
          </w:tcPr>
          <w:p w:rsidR="009B0FBE" w:rsidRPr="0009779B" w:rsidRDefault="009B0FBE" w:rsidP="0009779B">
            <w:r w:rsidRPr="0009779B">
              <w:t xml:space="preserve">Samenwerking en afstemming t.b.v. breder aanbod van kennis en arrangementen voor de leerlingen uit deze gemeenten. </w:t>
            </w:r>
          </w:p>
        </w:tc>
        <w:tc>
          <w:tcPr>
            <w:tcW w:w="889" w:type="pct"/>
            <w:shd w:val="clear" w:color="auto" w:fill="auto"/>
          </w:tcPr>
          <w:p w:rsidR="009B0FBE" w:rsidRPr="0009779B" w:rsidRDefault="009B0FBE" w:rsidP="0009779B">
            <w:r w:rsidRPr="0009779B">
              <w:t>Gemeenten Grootegast, Leek, Marum, Zuidhorn, Midden-Groningen,</w:t>
            </w:r>
            <w:r w:rsidR="00C36EDD">
              <w:t xml:space="preserve"> </w:t>
            </w:r>
            <w:r w:rsidRPr="0009779B">
              <w:t>Ten Boer, Groningen</w:t>
            </w:r>
          </w:p>
        </w:tc>
        <w:tc>
          <w:tcPr>
            <w:tcW w:w="817" w:type="pct"/>
            <w:shd w:val="clear" w:color="auto" w:fill="auto"/>
          </w:tcPr>
          <w:p w:rsidR="009B0FBE" w:rsidRPr="0009779B" w:rsidRDefault="009B0FBE" w:rsidP="0009779B">
            <w:r w:rsidRPr="0009779B">
              <w:t>Onderwijs Jeugd</w:t>
            </w:r>
          </w:p>
        </w:tc>
        <w:tc>
          <w:tcPr>
            <w:tcW w:w="1069" w:type="pct"/>
            <w:shd w:val="clear" w:color="auto" w:fill="auto"/>
          </w:tcPr>
          <w:p w:rsidR="009B0FBE" w:rsidRPr="0009779B" w:rsidRDefault="009B0FBE" w:rsidP="0009779B">
            <w:r w:rsidRPr="0009779B">
              <w:t>Publiekrechtelijk</w:t>
            </w:r>
          </w:p>
          <w:p w:rsidR="009B0FBE" w:rsidRPr="0009779B" w:rsidRDefault="009B0FBE" w:rsidP="0009779B">
            <w:r w:rsidRPr="0009779B">
              <w:t>Centrumgemeente (Groningen)</w:t>
            </w:r>
          </w:p>
        </w:tc>
      </w:tr>
      <w:tr w:rsidR="009B0FBE" w:rsidRPr="0009779B" w:rsidTr="00ED66F9">
        <w:tc>
          <w:tcPr>
            <w:tcW w:w="1024" w:type="pct"/>
            <w:shd w:val="clear" w:color="auto" w:fill="auto"/>
          </w:tcPr>
          <w:p w:rsidR="009B0FBE" w:rsidRPr="0009779B" w:rsidRDefault="009B0FBE" w:rsidP="0009779B">
            <w:r w:rsidRPr="0009779B">
              <w:t xml:space="preserve">Centrumregeling </w:t>
            </w:r>
            <w:r w:rsidR="00226E87">
              <w:t>B</w:t>
            </w:r>
            <w:r w:rsidRPr="0009779B">
              <w:t xml:space="preserve">eschermd wonen </w:t>
            </w:r>
            <w:r w:rsidRPr="0009779B">
              <w:lastRenderedPageBreak/>
              <w:t xml:space="preserve">en opvang Groningen </w:t>
            </w:r>
          </w:p>
          <w:p w:rsidR="009B0FBE" w:rsidRPr="0009779B" w:rsidRDefault="009B0FBE" w:rsidP="0009779B"/>
        </w:tc>
        <w:tc>
          <w:tcPr>
            <w:tcW w:w="1202" w:type="pct"/>
            <w:shd w:val="clear" w:color="auto" w:fill="auto"/>
          </w:tcPr>
          <w:p w:rsidR="009B0FBE" w:rsidRPr="0009779B" w:rsidRDefault="009B0FBE" w:rsidP="0009779B">
            <w:r w:rsidRPr="0009779B">
              <w:lastRenderedPageBreak/>
              <w:t xml:space="preserve">Taken en bevoegdheden op </w:t>
            </w:r>
            <w:r w:rsidRPr="0009779B">
              <w:lastRenderedPageBreak/>
              <w:t xml:space="preserve">het gebied van beschermd wonen, inloop GGZ, begeleiding maatschappelijke opvang en vrouwenopvang </w:t>
            </w:r>
          </w:p>
        </w:tc>
        <w:tc>
          <w:tcPr>
            <w:tcW w:w="889" w:type="pct"/>
            <w:shd w:val="clear" w:color="auto" w:fill="auto"/>
          </w:tcPr>
          <w:p w:rsidR="009B0FBE" w:rsidRPr="0009779B" w:rsidRDefault="009B0FBE" w:rsidP="0009779B">
            <w:r w:rsidRPr="0009779B">
              <w:lastRenderedPageBreak/>
              <w:t>Alle Groninger gemeenten</w:t>
            </w:r>
          </w:p>
        </w:tc>
        <w:tc>
          <w:tcPr>
            <w:tcW w:w="817" w:type="pct"/>
            <w:shd w:val="clear" w:color="auto" w:fill="auto"/>
          </w:tcPr>
          <w:p w:rsidR="009B0FBE" w:rsidRPr="0009779B" w:rsidRDefault="009B0FBE" w:rsidP="0009779B">
            <w:r w:rsidRPr="0009779B">
              <w:t>Sociaal domein</w:t>
            </w:r>
          </w:p>
        </w:tc>
        <w:tc>
          <w:tcPr>
            <w:tcW w:w="1069" w:type="pct"/>
            <w:shd w:val="clear" w:color="auto" w:fill="auto"/>
          </w:tcPr>
          <w:p w:rsidR="009B0FBE" w:rsidRPr="0009779B" w:rsidRDefault="009B0FBE" w:rsidP="0009779B">
            <w:r w:rsidRPr="0009779B">
              <w:t>Publiekrechtelijk</w:t>
            </w:r>
          </w:p>
          <w:p w:rsidR="009B0FBE" w:rsidRPr="0009779B" w:rsidRDefault="009B0FBE" w:rsidP="0009779B">
            <w:r w:rsidRPr="0009779B">
              <w:t xml:space="preserve">Centrumgemeente </w:t>
            </w:r>
            <w:r w:rsidRPr="0009779B">
              <w:lastRenderedPageBreak/>
              <w:t>(Groningen)</w:t>
            </w:r>
          </w:p>
        </w:tc>
      </w:tr>
      <w:tr w:rsidR="009B0FBE" w:rsidRPr="0009779B" w:rsidTr="00ED66F9">
        <w:tc>
          <w:tcPr>
            <w:tcW w:w="1024" w:type="pct"/>
            <w:shd w:val="clear" w:color="auto" w:fill="auto"/>
          </w:tcPr>
          <w:p w:rsidR="009B0FBE" w:rsidRPr="0009779B" w:rsidRDefault="009B0FBE" w:rsidP="00226E87">
            <w:r w:rsidRPr="0009779B">
              <w:lastRenderedPageBreak/>
              <w:t>Samenwerkingsver</w:t>
            </w:r>
            <w:r w:rsidR="00226E87">
              <w:softHyphen/>
            </w:r>
            <w:r w:rsidRPr="0009779B">
              <w:t>band Sociale Recherche</w:t>
            </w:r>
          </w:p>
        </w:tc>
        <w:tc>
          <w:tcPr>
            <w:tcW w:w="1202" w:type="pct"/>
            <w:shd w:val="clear" w:color="auto" w:fill="auto"/>
          </w:tcPr>
          <w:p w:rsidR="009B0FBE" w:rsidRPr="0009779B" w:rsidRDefault="009B0FBE" w:rsidP="00ED66F9">
            <w:r w:rsidRPr="0009779B">
              <w:t>Opsporingszaken, w</w:t>
            </w:r>
            <w:r w:rsidR="00ED66F9">
              <w:t>aaronder</w:t>
            </w:r>
            <w:r w:rsidRPr="0009779B">
              <w:t xml:space="preserve"> fraude-handhaving voor Werk en Inkomen, Wmo en BRP</w:t>
            </w:r>
          </w:p>
        </w:tc>
        <w:tc>
          <w:tcPr>
            <w:tcW w:w="889" w:type="pct"/>
            <w:shd w:val="clear" w:color="auto" w:fill="auto"/>
          </w:tcPr>
          <w:p w:rsidR="009B0FBE" w:rsidRPr="0009779B" w:rsidRDefault="009B0FBE" w:rsidP="0009779B">
            <w:r w:rsidRPr="0009779B">
              <w:t xml:space="preserve">Gemeenten Groningen, Grootegast, Ten Boer, Haren en Eemsmond </w:t>
            </w:r>
          </w:p>
        </w:tc>
        <w:tc>
          <w:tcPr>
            <w:tcW w:w="817" w:type="pct"/>
            <w:shd w:val="clear" w:color="auto" w:fill="auto"/>
          </w:tcPr>
          <w:p w:rsidR="009B0FBE" w:rsidRPr="0009779B" w:rsidRDefault="009B0FBE" w:rsidP="0009779B">
            <w:r w:rsidRPr="0009779B">
              <w:t>Sociaal domein</w:t>
            </w:r>
          </w:p>
        </w:tc>
        <w:tc>
          <w:tcPr>
            <w:tcW w:w="1069" w:type="pct"/>
            <w:shd w:val="clear" w:color="auto" w:fill="auto"/>
          </w:tcPr>
          <w:p w:rsidR="009B0FBE" w:rsidRPr="0009779B" w:rsidRDefault="009B0FBE" w:rsidP="0009779B">
            <w:r w:rsidRPr="0009779B">
              <w:t>Privaatrechtelijk</w:t>
            </w:r>
          </w:p>
        </w:tc>
      </w:tr>
      <w:tr w:rsidR="009B0FBE" w:rsidRPr="0009779B" w:rsidTr="00ED66F9">
        <w:tc>
          <w:tcPr>
            <w:tcW w:w="1024" w:type="pct"/>
            <w:shd w:val="clear" w:color="auto" w:fill="auto"/>
          </w:tcPr>
          <w:p w:rsidR="009B0FBE" w:rsidRPr="0009779B" w:rsidRDefault="009B0FBE" w:rsidP="0009779B">
            <w:r w:rsidRPr="0009779B">
              <w:t>Omgevingsdienst Groningen (ODG)</w:t>
            </w:r>
          </w:p>
        </w:tc>
        <w:tc>
          <w:tcPr>
            <w:tcW w:w="1202" w:type="pct"/>
            <w:shd w:val="clear" w:color="auto" w:fill="auto"/>
          </w:tcPr>
          <w:p w:rsidR="009B0FBE" w:rsidRPr="0009779B" w:rsidRDefault="009B0FBE" w:rsidP="0009779B">
            <w:r w:rsidRPr="0009779B">
              <w:t xml:space="preserve">Versterking van uitvoering van vergunningverlening, handhaving en toezicht </w:t>
            </w:r>
          </w:p>
        </w:tc>
        <w:tc>
          <w:tcPr>
            <w:tcW w:w="889" w:type="pct"/>
            <w:shd w:val="clear" w:color="auto" w:fill="auto"/>
          </w:tcPr>
          <w:p w:rsidR="009B0FBE" w:rsidRPr="0009779B" w:rsidRDefault="009B0FBE" w:rsidP="0009779B">
            <w:r w:rsidRPr="0009779B">
              <w:t>Alle Groninger gemeenten en provincie Groningen</w:t>
            </w:r>
          </w:p>
        </w:tc>
        <w:tc>
          <w:tcPr>
            <w:tcW w:w="817" w:type="pct"/>
            <w:shd w:val="clear" w:color="auto" w:fill="auto"/>
          </w:tcPr>
          <w:p w:rsidR="009B0FBE" w:rsidRPr="0009779B" w:rsidRDefault="009B0FBE" w:rsidP="0009779B">
            <w:r w:rsidRPr="0009779B">
              <w:t>Ruimtelijke ordening</w:t>
            </w:r>
          </w:p>
          <w:p w:rsidR="009B0FBE" w:rsidRPr="0009779B" w:rsidRDefault="009B0FBE" w:rsidP="0009779B">
            <w:r w:rsidRPr="0009779B">
              <w:t>Milieu</w:t>
            </w:r>
          </w:p>
        </w:tc>
        <w:tc>
          <w:tcPr>
            <w:tcW w:w="1069" w:type="pct"/>
            <w:shd w:val="clear" w:color="auto" w:fill="auto"/>
          </w:tcPr>
          <w:p w:rsidR="009B0FBE" w:rsidRPr="0009779B" w:rsidRDefault="009B0FBE" w:rsidP="0009779B">
            <w:r w:rsidRPr="0009779B">
              <w:t>Publiekrechtelijk</w:t>
            </w:r>
          </w:p>
          <w:p w:rsidR="009B0FBE" w:rsidRPr="0009779B" w:rsidRDefault="009B0FBE" w:rsidP="0009779B">
            <w:r w:rsidRPr="0009779B">
              <w:t>Deels verplichte uitbesteding van</w:t>
            </w:r>
            <w:r w:rsidR="00825169">
              <w:t xml:space="preserve"> uitvoerende taken. </w:t>
            </w:r>
          </w:p>
        </w:tc>
      </w:tr>
      <w:tr w:rsidR="009B0FBE" w:rsidRPr="0009779B" w:rsidTr="00ED66F9">
        <w:tc>
          <w:tcPr>
            <w:tcW w:w="1024" w:type="pct"/>
            <w:shd w:val="clear" w:color="auto" w:fill="auto"/>
          </w:tcPr>
          <w:p w:rsidR="009B0FBE" w:rsidRPr="0009779B" w:rsidRDefault="009B0FBE" w:rsidP="0009779B">
            <w:r w:rsidRPr="0009779B">
              <w:t>Afvalverwijdering Regio Centraal Groningen (ARCG)</w:t>
            </w:r>
          </w:p>
        </w:tc>
        <w:tc>
          <w:tcPr>
            <w:tcW w:w="1202" w:type="pct"/>
            <w:shd w:val="clear" w:color="auto" w:fill="auto"/>
          </w:tcPr>
          <w:p w:rsidR="009B0FBE" w:rsidRPr="0009779B" w:rsidRDefault="009B0FBE" w:rsidP="0009779B">
            <w:r w:rsidRPr="0009779B">
              <w:t>Gezamenlijke verwijdering en verwerking huishoudelijk en bedrijfsmatig afval</w:t>
            </w:r>
          </w:p>
        </w:tc>
        <w:tc>
          <w:tcPr>
            <w:tcW w:w="889" w:type="pct"/>
            <w:shd w:val="clear" w:color="auto" w:fill="auto"/>
          </w:tcPr>
          <w:p w:rsidR="009B0FBE" w:rsidRPr="0009779B" w:rsidRDefault="009B0FBE" w:rsidP="0009779B">
            <w:r w:rsidRPr="0009779B">
              <w:t>Gemeenten Groningen, Haren, Ten Boer, Bedum Zuidhorn, Leek, Marum, Grootegast, en Midden-Groningen</w:t>
            </w:r>
          </w:p>
        </w:tc>
        <w:tc>
          <w:tcPr>
            <w:tcW w:w="817" w:type="pct"/>
            <w:shd w:val="clear" w:color="auto" w:fill="auto"/>
          </w:tcPr>
          <w:p w:rsidR="009B0FBE" w:rsidRPr="0009779B" w:rsidRDefault="009B0FBE" w:rsidP="0009779B">
            <w:r w:rsidRPr="0009779B">
              <w:t>Openbare ruimte</w:t>
            </w:r>
          </w:p>
        </w:tc>
        <w:tc>
          <w:tcPr>
            <w:tcW w:w="1069" w:type="pct"/>
            <w:shd w:val="clear" w:color="auto" w:fill="auto"/>
          </w:tcPr>
          <w:p w:rsidR="009B0FBE" w:rsidRPr="0009779B" w:rsidRDefault="009B0FBE" w:rsidP="0009779B">
            <w:r w:rsidRPr="0009779B">
              <w:t>Publiekrechtelijk</w:t>
            </w:r>
          </w:p>
        </w:tc>
      </w:tr>
      <w:tr w:rsidR="009B0FBE" w:rsidRPr="0009779B" w:rsidTr="00ED66F9">
        <w:tc>
          <w:tcPr>
            <w:tcW w:w="1024" w:type="pct"/>
            <w:shd w:val="clear" w:color="auto" w:fill="auto"/>
          </w:tcPr>
          <w:p w:rsidR="009B0FBE" w:rsidRPr="0009779B" w:rsidRDefault="009B0FBE" w:rsidP="0009779B">
            <w:r w:rsidRPr="0009779B">
              <w:t>Cluster Waterketen Garmerwolde</w:t>
            </w:r>
          </w:p>
        </w:tc>
        <w:tc>
          <w:tcPr>
            <w:tcW w:w="1202" w:type="pct"/>
            <w:shd w:val="clear" w:color="auto" w:fill="auto"/>
          </w:tcPr>
          <w:p w:rsidR="009B0FBE" w:rsidRPr="0009779B" w:rsidRDefault="009B0FBE" w:rsidP="0009779B">
            <w:r w:rsidRPr="0009779B">
              <w:t>Realiseren lag</w:t>
            </w:r>
            <w:r w:rsidR="00ED66F9">
              <w:t>ere lasten riool en waterschap</w:t>
            </w:r>
          </w:p>
        </w:tc>
        <w:tc>
          <w:tcPr>
            <w:tcW w:w="889" w:type="pct"/>
            <w:shd w:val="clear" w:color="auto" w:fill="auto"/>
          </w:tcPr>
          <w:p w:rsidR="009B0FBE" w:rsidRPr="0009779B" w:rsidRDefault="009B0FBE" w:rsidP="0009779B">
            <w:r w:rsidRPr="0009779B">
              <w:t>Gemeenten Haren, Ten Boer en Groningen, Waterbedrijf Groningen en waterschappen Noorderzijlvest en Hunze en Aa’s</w:t>
            </w:r>
          </w:p>
        </w:tc>
        <w:tc>
          <w:tcPr>
            <w:tcW w:w="817" w:type="pct"/>
            <w:shd w:val="clear" w:color="auto" w:fill="auto"/>
          </w:tcPr>
          <w:p w:rsidR="009B0FBE" w:rsidRPr="0009779B" w:rsidRDefault="009B0FBE" w:rsidP="0009779B">
            <w:r w:rsidRPr="0009779B">
              <w:t>Water</w:t>
            </w:r>
          </w:p>
          <w:p w:rsidR="009B0FBE" w:rsidRPr="0009779B" w:rsidRDefault="009B0FBE" w:rsidP="0009779B"/>
        </w:tc>
        <w:tc>
          <w:tcPr>
            <w:tcW w:w="1069" w:type="pct"/>
            <w:shd w:val="clear" w:color="auto" w:fill="auto"/>
          </w:tcPr>
          <w:p w:rsidR="009B0FBE" w:rsidRPr="0009779B" w:rsidRDefault="009B0FBE" w:rsidP="0009779B">
            <w:r w:rsidRPr="0009779B">
              <w:t>Privaatrechtelijk</w:t>
            </w:r>
          </w:p>
        </w:tc>
      </w:tr>
    </w:tbl>
    <w:p w:rsidR="009B0FBE" w:rsidRPr="0009779B" w:rsidRDefault="009B0FBE" w:rsidP="0009779B"/>
    <w:p w:rsidR="009B0FBE" w:rsidRPr="0009779B" w:rsidRDefault="009B0FBE" w:rsidP="008D72F4">
      <w:pPr>
        <w:pStyle w:val="Kop2"/>
      </w:pPr>
      <w:r w:rsidRPr="0009779B">
        <w:t xml:space="preserve">Specifieke samenwerkingsverbanden Ten Boer </w:t>
      </w:r>
    </w:p>
    <w:p w:rsidR="009B0FBE" w:rsidRPr="0009779B" w:rsidRDefault="009B0FBE" w:rsidP="0009779B"/>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5"/>
        <w:gridCol w:w="1776"/>
        <w:gridCol w:w="1407"/>
        <w:gridCol w:w="1203"/>
        <w:gridCol w:w="1701"/>
      </w:tblGrid>
      <w:tr w:rsidR="009B0FBE" w:rsidRPr="0009779B" w:rsidTr="00ED66F9">
        <w:trPr>
          <w:tblHeader/>
        </w:trPr>
        <w:tc>
          <w:tcPr>
            <w:tcW w:w="1226" w:type="pct"/>
            <w:shd w:val="clear" w:color="auto" w:fill="E7E6E6" w:themeFill="background2"/>
          </w:tcPr>
          <w:p w:rsidR="009B0FBE" w:rsidRPr="0009779B" w:rsidRDefault="009B0FBE" w:rsidP="0009779B">
            <w:r w:rsidRPr="0009779B">
              <w:t>Samenwerkings-</w:t>
            </w:r>
            <w:r w:rsidRPr="0009779B">
              <w:br/>
              <w:t>verband</w:t>
            </w:r>
          </w:p>
        </w:tc>
        <w:tc>
          <w:tcPr>
            <w:tcW w:w="1542" w:type="pct"/>
            <w:shd w:val="clear" w:color="auto" w:fill="E7E6E6" w:themeFill="background2"/>
          </w:tcPr>
          <w:p w:rsidR="009B0FBE" w:rsidRPr="0009779B" w:rsidRDefault="009B0FBE" w:rsidP="0009779B">
            <w:r w:rsidRPr="0009779B">
              <w:t>Aard en doel</w:t>
            </w:r>
          </w:p>
        </w:tc>
        <w:tc>
          <w:tcPr>
            <w:tcW w:w="728" w:type="pct"/>
            <w:shd w:val="clear" w:color="auto" w:fill="E7E6E6" w:themeFill="background2"/>
          </w:tcPr>
          <w:p w:rsidR="009B0FBE" w:rsidRPr="0009779B" w:rsidRDefault="009B0FBE" w:rsidP="0009779B">
            <w:r w:rsidRPr="0009779B">
              <w:t>Deelnemers</w:t>
            </w:r>
          </w:p>
        </w:tc>
        <w:tc>
          <w:tcPr>
            <w:tcW w:w="623" w:type="pct"/>
            <w:shd w:val="clear" w:color="auto" w:fill="E7E6E6" w:themeFill="background2"/>
          </w:tcPr>
          <w:p w:rsidR="009B0FBE" w:rsidRPr="0009779B" w:rsidRDefault="009B0FBE" w:rsidP="0009779B">
            <w:r w:rsidRPr="0009779B">
              <w:t>Beleids-</w:t>
            </w:r>
          </w:p>
          <w:p w:rsidR="009B0FBE" w:rsidRPr="0009779B" w:rsidRDefault="009B0FBE" w:rsidP="0009779B">
            <w:r w:rsidRPr="0009779B">
              <w:t>terrein(en)</w:t>
            </w:r>
          </w:p>
        </w:tc>
        <w:tc>
          <w:tcPr>
            <w:tcW w:w="881" w:type="pct"/>
            <w:shd w:val="clear" w:color="auto" w:fill="E7E6E6" w:themeFill="background2"/>
          </w:tcPr>
          <w:p w:rsidR="009B0FBE" w:rsidRPr="0009779B" w:rsidRDefault="009B0FBE" w:rsidP="0009779B">
            <w:r w:rsidRPr="0009779B">
              <w:t>Juridische vorm</w:t>
            </w:r>
          </w:p>
        </w:tc>
      </w:tr>
      <w:tr w:rsidR="009B0FBE" w:rsidRPr="0009779B" w:rsidTr="00ED66F9">
        <w:tc>
          <w:tcPr>
            <w:tcW w:w="1226" w:type="pct"/>
            <w:shd w:val="clear" w:color="auto" w:fill="auto"/>
          </w:tcPr>
          <w:p w:rsidR="009B0FBE" w:rsidRPr="0009779B" w:rsidRDefault="009B0FBE" w:rsidP="0009779B">
            <w:r w:rsidRPr="0009779B">
              <w:t>Same</w:t>
            </w:r>
            <w:r w:rsidR="00226E87">
              <w:t>nwerkingsovereenkomst Ten Boer-</w:t>
            </w:r>
            <w:r w:rsidRPr="0009779B">
              <w:t>Groningen</w:t>
            </w:r>
          </w:p>
        </w:tc>
        <w:tc>
          <w:tcPr>
            <w:tcW w:w="1542" w:type="pct"/>
            <w:shd w:val="clear" w:color="auto" w:fill="auto"/>
          </w:tcPr>
          <w:p w:rsidR="009B0FBE" w:rsidRPr="0009779B" w:rsidRDefault="009B0FBE" w:rsidP="0009779B">
            <w:r w:rsidRPr="0009779B">
              <w:t>Uitbesteding van beleid en uitvoering van alle gemeentelijke taken per 1-1-2007, incl. personeel. Inkoop via dienstverlenings</w:t>
            </w:r>
            <w:r w:rsidR="00ED66F9">
              <w:t>-</w:t>
            </w:r>
            <w:r w:rsidRPr="0009779B">
              <w:t xml:space="preserve">overeenkomst </w:t>
            </w:r>
          </w:p>
        </w:tc>
        <w:tc>
          <w:tcPr>
            <w:tcW w:w="728" w:type="pct"/>
            <w:shd w:val="clear" w:color="auto" w:fill="auto"/>
          </w:tcPr>
          <w:p w:rsidR="009B0FBE" w:rsidRPr="0009779B" w:rsidRDefault="009B0FBE" w:rsidP="0009779B">
            <w:r w:rsidRPr="0009779B">
              <w:t>Gemeenten Groningen en Ten Boer</w:t>
            </w:r>
          </w:p>
        </w:tc>
        <w:tc>
          <w:tcPr>
            <w:tcW w:w="623" w:type="pct"/>
            <w:shd w:val="clear" w:color="auto" w:fill="auto"/>
          </w:tcPr>
          <w:p w:rsidR="009B0FBE" w:rsidRPr="0009779B" w:rsidRDefault="009B0FBE" w:rsidP="0009779B">
            <w:r w:rsidRPr="0009779B">
              <w:t>Alle</w:t>
            </w:r>
          </w:p>
        </w:tc>
        <w:tc>
          <w:tcPr>
            <w:tcW w:w="881" w:type="pct"/>
            <w:shd w:val="clear" w:color="auto" w:fill="auto"/>
          </w:tcPr>
          <w:p w:rsidR="009B0FBE" w:rsidRPr="0009779B" w:rsidRDefault="009B0FBE" w:rsidP="0009779B">
            <w:r w:rsidRPr="0009779B">
              <w:t>Privaatrechtelijk</w:t>
            </w:r>
          </w:p>
        </w:tc>
      </w:tr>
      <w:tr w:rsidR="009B0FBE" w:rsidRPr="0009779B" w:rsidTr="00ED66F9">
        <w:tc>
          <w:tcPr>
            <w:tcW w:w="1226" w:type="pct"/>
            <w:shd w:val="clear" w:color="auto" w:fill="auto"/>
          </w:tcPr>
          <w:p w:rsidR="009B0FBE" w:rsidRPr="0009779B" w:rsidRDefault="009B0FBE" w:rsidP="0009779B">
            <w:r w:rsidRPr="0009779B">
              <w:t>Leerlingenvervoer</w:t>
            </w:r>
          </w:p>
        </w:tc>
        <w:tc>
          <w:tcPr>
            <w:tcW w:w="1542" w:type="pct"/>
            <w:shd w:val="clear" w:color="auto" w:fill="auto"/>
          </w:tcPr>
          <w:p w:rsidR="009B0FBE" w:rsidRPr="0009779B" w:rsidRDefault="009B0FBE" w:rsidP="0009779B">
            <w:r w:rsidRPr="0009779B">
              <w:t xml:space="preserve">Gezamenlijk aanbesteden </w:t>
            </w:r>
          </w:p>
        </w:tc>
        <w:tc>
          <w:tcPr>
            <w:tcW w:w="728" w:type="pct"/>
            <w:shd w:val="clear" w:color="auto" w:fill="auto"/>
          </w:tcPr>
          <w:p w:rsidR="009B0FBE" w:rsidRPr="0009779B" w:rsidRDefault="009B0FBE" w:rsidP="0009779B">
            <w:r w:rsidRPr="0009779B">
              <w:t xml:space="preserve">Gemeenten Appingedam, </w:t>
            </w:r>
            <w:r w:rsidRPr="0009779B">
              <w:lastRenderedPageBreak/>
              <w:t>Bedum, Delfzijl, Loppersum en Ten Boer</w:t>
            </w:r>
          </w:p>
        </w:tc>
        <w:tc>
          <w:tcPr>
            <w:tcW w:w="623" w:type="pct"/>
            <w:shd w:val="clear" w:color="auto" w:fill="auto"/>
          </w:tcPr>
          <w:p w:rsidR="009B0FBE" w:rsidRPr="0009779B" w:rsidRDefault="009B0FBE" w:rsidP="0009779B">
            <w:r w:rsidRPr="0009779B">
              <w:lastRenderedPageBreak/>
              <w:t>Onderwijs</w:t>
            </w:r>
          </w:p>
        </w:tc>
        <w:tc>
          <w:tcPr>
            <w:tcW w:w="881" w:type="pct"/>
            <w:shd w:val="clear" w:color="auto" w:fill="auto"/>
          </w:tcPr>
          <w:p w:rsidR="009B0FBE" w:rsidRPr="0009779B" w:rsidRDefault="009B0FBE" w:rsidP="0009779B">
            <w:r w:rsidRPr="0009779B">
              <w:t>Privaatrechtelijk</w:t>
            </w:r>
          </w:p>
        </w:tc>
      </w:tr>
      <w:tr w:rsidR="009B0FBE" w:rsidRPr="0009779B" w:rsidTr="00ED66F9">
        <w:tc>
          <w:tcPr>
            <w:tcW w:w="1226" w:type="pct"/>
            <w:shd w:val="clear" w:color="auto" w:fill="auto"/>
          </w:tcPr>
          <w:p w:rsidR="009B0FBE" w:rsidRPr="0009779B" w:rsidRDefault="009B0FBE" w:rsidP="0009779B">
            <w:r w:rsidRPr="0009779B">
              <w:lastRenderedPageBreak/>
              <w:t>Toezichthoudend orgaan op primair openbaar onderwijs door Stichting Marenland</w:t>
            </w:r>
          </w:p>
        </w:tc>
        <w:tc>
          <w:tcPr>
            <w:tcW w:w="1542" w:type="pct"/>
            <w:shd w:val="clear" w:color="auto" w:fill="auto"/>
          </w:tcPr>
          <w:p w:rsidR="009B0FBE" w:rsidRPr="0009779B" w:rsidRDefault="009B0FBE" w:rsidP="0009779B">
            <w:r w:rsidRPr="0009779B">
              <w:t>Toezicht houden op beleid en uitvoering van het primair openbaar onderwijs.</w:t>
            </w:r>
          </w:p>
        </w:tc>
        <w:tc>
          <w:tcPr>
            <w:tcW w:w="728" w:type="pct"/>
            <w:shd w:val="clear" w:color="auto" w:fill="auto"/>
          </w:tcPr>
          <w:p w:rsidR="009B0FBE" w:rsidRPr="0009779B" w:rsidRDefault="009B0FBE" w:rsidP="0009779B">
            <w:r w:rsidRPr="0009779B">
              <w:t>Gemeenten Appingedam, Bedum, Delfzijl, Loppersum en Ten Boer</w:t>
            </w:r>
          </w:p>
        </w:tc>
        <w:tc>
          <w:tcPr>
            <w:tcW w:w="623" w:type="pct"/>
            <w:shd w:val="clear" w:color="auto" w:fill="auto"/>
          </w:tcPr>
          <w:p w:rsidR="009B0FBE" w:rsidRPr="0009779B" w:rsidRDefault="009B0FBE" w:rsidP="0009779B">
            <w:r w:rsidRPr="0009779B">
              <w:t>Primair onderwijs</w:t>
            </w:r>
          </w:p>
        </w:tc>
        <w:tc>
          <w:tcPr>
            <w:tcW w:w="881" w:type="pct"/>
            <w:shd w:val="clear" w:color="auto" w:fill="auto"/>
          </w:tcPr>
          <w:p w:rsidR="009B0FBE" w:rsidRPr="0009779B" w:rsidRDefault="009B0FBE" w:rsidP="0009779B">
            <w:r w:rsidRPr="0009779B">
              <w:t>Publiekrechtelijk</w:t>
            </w:r>
          </w:p>
        </w:tc>
      </w:tr>
    </w:tbl>
    <w:p w:rsidR="009B0FBE" w:rsidRPr="0009779B" w:rsidRDefault="009B0FBE" w:rsidP="0009779B"/>
    <w:p w:rsidR="009B0FBE" w:rsidRPr="0009779B" w:rsidRDefault="009B0FBE" w:rsidP="008D72F4">
      <w:pPr>
        <w:pStyle w:val="Kop2"/>
      </w:pPr>
      <w:r w:rsidRPr="0009779B">
        <w:t xml:space="preserve">Overige samenwerkingsverbanden </w:t>
      </w:r>
    </w:p>
    <w:p w:rsidR="009B0FBE" w:rsidRPr="0009779B" w:rsidRDefault="009B0FBE" w:rsidP="0009779B"/>
    <w:tbl>
      <w:tblPr>
        <w:tblW w:w="90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4"/>
        <w:gridCol w:w="1868"/>
        <w:gridCol w:w="1364"/>
        <w:gridCol w:w="1204"/>
        <w:gridCol w:w="1702"/>
      </w:tblGrid>
      <w:tr w:rsidR="00ED66F9" w:rsidRPr="0009779B" w:rsidTr="00ED66F9">
        <w:trPr>
          <w:tblHeader/>
        </w:trPr>
        <w:tc>
          <w:tcPr>
            <w:tcW w:w="1598" w:type="pct"/>
            <w:tcBorders>
              <w:bottom w:val="single" w:sz="4" w:space="0" w:color="auto"/>
            </w:tcBorders>
            <w:shd w:val="clear" w:color="auto" w:fill="E7E6E6" w:themeFill="background2"/>
          </w:tcPr>
          <w:p w:rsidR="00ED66F9" w:rsidRPr="0009779B" w:rsidRDefault="00ED66F9" w:rsidP="00054244">
            <w:r w:rsidRPr="0009779B">
              <w:t>Samenwerkings-</w:t>
            </w:r>
            <w:r w:rsidRPr="0009779B">
              <w:br/>
              <w:t>verband</w:t>
            </w:r>
          </w:p>
        </w:tc>
        <w:tc>
          <w:tcPr>
            <w:tcW w:w="1035" w:type="pct"/>
            <w:tcBorders>
              <w:bottom w:val="single" w:sz="4" w:space="0" w:color="auto"/>
            </w:tcBorders>
            <w:shd w:val="clear" w:color="auto" w:fill="E7E6E6" w:themeFill="background2"/>
          </w:tcPr>
          <w:p w:rsidR="00ED66F9" w:rsidRPr="0009779B" w:rsidRDefault="00ED66F9" w:rsidP="00054244">
            <w:r w:rsidRPr="0009779B">
              <w:t>Aard en doel</w:t>
            </w:r>
          </w:p>
        </w:tc>
        <w:tc>
          <w:tcPr>
            <w:tcW w:w="756" w:type="pct"/>
            <w:tcBorders>
              <w:bottom w:val="single" w:sz="4" w:space="0" w:color="auto"/>
            </w:tcBorders>
            <w:shd w:val="clear" w:color="auto" w:fill="E7E6E6" w:themeFill="background2"/>
          </w:tcPr>
          <w:p w:rsidR="00ED66F9" w:rsidRPr="0009779B" w:rsidRDefault="00ED66F9" w:rsidP="00054244">
            <w:r w:rsidRPr="0009779B">
              <w:t>Deelnemers</w:t>
            </w:r>
          </w:p>
        </w:tc>
        <w:tc>
          <w:tcPr>
            <w:tcW w:w="667" w:type="pct"/>
            <w:tcBorders>
              <w:bottom w:val="single" w:sz="4" w:space="0" w:color="auto"/>
            </w:tcBorders>
            <w:shd w:val="clear" w:color="auto" w:fill="E7E6E6" w:themeFill="background2"/>
          </w:tcPr>
          <w:p w:rsidR="00ED66F9" w:rsidRPr="0009779B" w:rsidRDefault="00ED66F9" w:rsidP="00054244">
            <w:r w:rsidRPr="0009779B">
              <w:t>Beleids-</w:t>
            </w:r>
          </w:p>
          <w:p w:rsidR="00ED66F9" w:rsidRPr="0009779B" w:rsidRDefault="00ED66F9" w:rsidP="00054244">
            <w:r w:rsidRPr="0009779B">
              <w:t>terrein(en)</w:t>
            </w:r>
          </w:p>
        </w:tc>
        <w:tc>
          <w:tcPr>
            <w:tcW w:w="943" w:type="pct"/>
            <w:tcBorders>
              <w:bottom w:val="single" w:sz="4" w:space="0" w:color="auto"/>
            </w:tcBorders>
            <w:shd w:val="clear" w:color="auto" w:fill="E7E6E6" w:themeFill="background2"/>
          </w:tcPr>
          <w:p w:rsidR="00ED66F9" w:rsidRPr="0009779B" w:rsidRDefault="00ED66F9" w:rsidP="00054244">
            <w:r w:rsidRPr="0009779B">
              <w:t>Juridische vorm</w:t>
            </w:r>
          </w:p>
        </w:tc>
      </w:tr>
      <w:tr w:rsidR="00ED66F9" w:rsidRPr="0009779B" w:rsidTr="00ED66F9">
        <w:trPr>
          <w:tblHeader/>
        </w:trPr>
        <w:tc>
          <w:tcPr>
            <w:tcW w:w="1598" w:type="pct"/>
            <w:shd w:val="clear" w:color="auto" w:fill="FFFFFF" w:themeFill="background1"/>
          </w:tcPr>
          <w:p w:rsidR="00ED66F9" w:rsidRPr="0009779B" w:rsidRDefault="00ED66F9" w:rsidP="00054244">
            <w:r w:rsidRPr="0009779B">
              <w:t>Meerschap Paterswolde</w:t>
            </w:r>
          </w:p>
        </w:tc>
        <w:tc>
          <w:tcPr>
            <w:tcW w:w="1035" w:type="pct"/>
            <w:shd w:val="clear" w:color="auto" w:fill="FFFFFF" w:themeFill="background1"/>
          </w:tcPr>
          <w:p w:rsidR="00ED66F9" w:rsidRPr="0009779B" w:rsidRDefault="00ED66F9" w:rsidP="00054244">
            <w:r w:rsidRPr="0009779B">
              <w:t>Beheer Paterswoldsemeer</w:t>
            </w:r>
          </w:p>
        </w:tc>
        <w:tc>
          <w:tcPr>
            <w:tcW w:w="756" w:type="pct"/>
            <w:shd w:val="clear" w:color="auto" w:fill="FFFFFF" w:themeFill="background1"/>
          </w:tcPr>
          <w:p w:rsidR="00ED66F9" w:rsidRPr="0009779B" w:rsidRDefault="00ED66F9" w:rsidP="00054244">
            <w:r w:rsidRPr="0009779B">
              <w:t>Gemeenten Haren, Groningen en Tynaarlo</w:t>
            </w:r>
          </w:p>
        </w:tc>
        <w:tc>
          <w:tcPr>
            <w:tcW w:w="667" w:type="pct"/>
            <w:shd w:val="clear" w:color="auto" w:fill="FFFFFF" w:themeFill="background1"/>
          </w:tcPr>
          <w:p w:rsidR="00ED66F9" w:rsidRPr="0009779B" w:rsidRDefault="00ED66F9" w:rsidP="00054244">
            <w:r w:rsidRPr="0009779B">
              <w:t>Recreatie</w:t>
            </w:r>
          </w:p>
        </w:tc>
        <w:tc>
          <w:tcPr>
            <w:tcW w:w="943" w:type="pct"/>
            <w:shd w:val="clear" w:color="auto" w:fill="FFFFFF" w:themeFill="background1"/>
          </w:tcPr>
          <w:p w:rsidR="00ED66F9" w:rsidRPr="0009779B" w:rsidRDefault="00ED66F9" w:rsidP="00054244">
            <w:r w:rsidRPr="0009779B">
              <w:t>Publiekrechtelijk</w:t>
            </w:r>
          </w:p>
        </w:tc>
      </w:tr>
    </w:tbl>
    <w:p w:rsidR="00B274BF" w:rsidRDefault="00B274BF" w:rsidP="00825169"/>
    <w:sectPr w:rsidR="00B274BF" w:rsidSect="0009779B">
      <w:headerReference w:type="default" r:id="rId14"/>
      <w:footerReference w:type="default" r:id="rId15"/>
      <w:type w:val="continuous"/>
      <w:pgSz w:w="11905" w:h="16837"/>
      <w:pgMar w:top="1418" w:right="1418" w:bottom="1418" w:left="2552"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98C" w:rsidRDefault="009A198C">
      <w:pPr>
        <w:spacing w:line="240" w:lineRule="auto"/>
      </w:pPr>
      <w:r>
        <w:separator/>
      </w:r>
    </w:p>
  </w:endnote>
  <w:endnote w:type="continuationSeparator" w:id="0">
    <w:p w:rsidR="009A198C" w:rsidRDefault="009A19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680018"/>
      <w:docPartObj>
        <w:docPartGallery w:val="Page Numbers (Bottom of Page)"/>
        <w:docPartUnique/>
      </w:docPartObj>
    </w:sdtPr>
    <w:sdtEndPr/>
    <w:sdtContent>
      <w:p w:rsidR="00DB6481" w:rsidRDefault="00190E82">
        <w:pPr>
          <w:pStyle w:val="Voettekst"/>
          <w:jc w:val="right"/>
        </w:pPr>
        <w:r>
          <w:fldChar w:fldCharType="begin"/>
        </w:r>
        <w:r w:rsidR="00DB6481">
          <w:instrText>PAGE   \* MERGEFORMAT</w:instrText>
        </w:r>
        <w:r>
          <w:fldChar w:fldCharType="separate"/>
        </w:r>
        <w:r w:rsidR="00F17C13">
          <w:rPr>
            <w:noProof/>
          </w:rPr>
          <w:t>2</w:t>
        </w:r>
        <w:r>
          <w:fldChar w:fldCharType="end"/>
        </w:r>
      </w:p>
    </w:sdtContent>
  </w:sdt>
  <w:p w:rsidR="00DB6481" w:rsidRDefault="00DB6481">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98C" w:rsidRDefault="009A198C">
      <w:pPr>
        <w:spacing w:line="240" w:lineRule="auto"/>
      </w:pPr>
      <w:r>
        <w:separator/>
      </w:r>
    </w:p>
  </w:footnote>
  <w:footnote w:type="continuationSeparator" w:id="0">
    <w:p w:rsidR="009A198C" w:rsidRDefault="009A198C">
      <w:pPr>
        <w:spacing w:line="240" w:lineRule="auto"/>
      </w:pPr>
      <w:r>
        <w:continuationSeparator/>
      </w:r>
    </w:p>
  </w:footnote>
  <w:footnote w:id="1">
    <w:p w:rsidR="00DB6481" w:rsidRPr="00E579AD" w:rsidRDefault="00DB6481" w:rsidP="005413BF">
      <w:pPr>
        <w:pStyle w:val="Voetnoottekst"/>
        <w:rPr>
          <w:sz w:val="16"/>
          <w:szCs w:val="16"/>
        </w:rPr>
      </w:pPr>
      <w:r w:rsidRPr="00E579AD">
        <w:rPr>
          <w:rStyle w:val="Voetnootmarkering"/>
          <w:sz w:val="16"/>
          <w:szCs w:val="16"/>
        </w:rPr>
        <w:footnoteRef/>
      </w:r>
      <w:r w:rsidRPr="00E579AD">
        <w:rPr>
          <w:sz w:val="16"/>
          <w:szCs w:val="16"/>
        </w:rPr>
        <w:t xml:space="preserve"> ‘Nodaliteit’ ziet op de oriëntatie van inwoners op voorzieningen of stedelijke kernen en de nog levende cultuurhistorische verbanden in het gebied.</w:t>
      </w:r>
    </w:p>
  </w:footnote>
  <w:footnote w:id="2">
    <w:p w:rsidR="00374DAB" w:rsidRPr="00E579AD" w:rsidRDefault="00DB6481" w:rsidP="005413BF">
      <w:pPr>
        <w:pStyle w:val="Voetnoottekst"/>
        <w:rPr>
          <w:sz w:val="16"/>
          <w:szCs w:val="16"/>
        </w:rPr>
      </w:pPr>
      <w:r w:rsidRPr="00E579AD">
        <w:rPr>
          <w:rStyle w:val="Voetnootmarkering"/>
          <w:sz w:val="16"/>
          <w:szCs w:val="16"/>
        </w:rPr>
        <w:footnoteRef/>
      </w:r>
      <w:r w:rsidR="00E579AD" w:rsidRPr="00E579AD">
        <w:rPr>
          <w:sz w:val="16"/>
          <w:szCs w:val="16"/>
        </w:rPr>
        <w:t xml:space="preserve"> </w:t>
      </w:r>
      <w:r w:rsidR="00E579AD">
        <w:rPr>
          <w:sz w:val="16"/>
          <w:szCs w:val="16"/>
        </w:rPr>
        <w:t>R</w:t>
      </w:r>
      <w:r w:rsidR="00E579AD" w:rsidRPr="00E579AD">
        <w:rPr>
          <w:sz w:val="16"/>
          <w:szCs w:val="16"/>
        </w:rPr>
        <w:t>aadsvergadering van 25 november 2013, nr. 48</w:t>
      </w:r>
      <w:r w:rsidR="00E579AD">
        <w:rPr>
          <w:sz w:val="16"/>
          <w:szCs w:val="16"/>
        </w:rPr>
        <w:t>, t</w:t>
      </w:r>
      <w:r w:rsidR="00E579AD" w:rsidRPr="00E579AD">
        <w:rPr>
          <w:sz w:val="16"/>
          <w:szCs w:val="16"/>
        </w:rPr>
        <w:t xml:space="preserve">e raadplegen via </w:t>
      </w:r>
      <w:hyperlink r:id="rId1" w:history="1">
        <w:r w:rsidR="00E579AD" w:rsidRPr="00E579AD">
          <w:rPr>
            <w:rStyle w:val="Hyperlink"/>
            <w:sz w:val="16"/>
            <w:szCs w:val="16"/>
          </w:rPr>
          <w:t>www.raadsnetharen.nl</w:t>
        </w:r>
      </w:hyperlink>
      <w:r w:rsidR="00E579AD" w:rsidRPr="00E579AD">
        <w:rPr>
          <w:sz w:val="16"/>
          <w:szCs w:val="16"/>
        </w:rPr>
        <w:t>.</w:t>
      </w:r>
    </w:p>
  </w:footnote>
  <w:footnote w:id="3">
    <w:p w:rsidR="00C830FA" w:rsidRPr="00E579AD" w:rsidRDefault="00C830FA">
      <w:pPr>
        <w:pStyle w:val="Voetnoottekst"/>
        <w:rPr>
          <w:sz w:val="16"/>
          <w:szCs w:val="16"/>
        </w:rPr>
      </w:pPr>
      <w:r w:rsidRPr="00E579AD">
        <w:rPr>
          <w:rStyle w:val="Voetnootmarkering"/>
          <w:sz w:val="16"/>
          <w:szCs w:val="16"/>
        </w:rPr>
        <w:footnoteRef/>
      </w:r>
      <w:r w:rsidR="00E579AD" w:rsidRPr="00E579AD">
        <w:rPr>
          <w:sz w:val="16"/>
          <w:szCs w:val="16"/>
        </w:rPr>
        <w:t xml:space="preserve"> </w:t>
      </w:r>
      <w:r w:rsidR="00E579AD">
        <w:rPr>
          <w:sz w:val="16"/>
          <w:szCs w:val="16"/>
        </w:rPr>
        <w:t>R</w:t>
      </w:r>
      <w:r w:rsidR="00E579AD" w:rsidRPr="00E579AD">
        <w:rPr>
          <w:sz w:val="16"/>
          <w:szCs w:val="16"/>
        </w:rPr>
        <w:t xml:space="preserve">aadsvergadering van 14 december 2015, </w:t>
      </w:r>
      <w:r w:rsidRPr="00E579AD">
        <w:rPr>
          <w:sz w:val="16"/>
          <w:szCs w:val="16"/>
        </w:rPr>
        <w:t>nr</w:t>
      </w:r>
      <w:r w:rsidR="00E579AD" w:rsidRPr="00E579AD">
        <w:rPr>
          <w:sz w:val="16"/>
          <w:szCs w:val="16"/>
        </w:rPr>
        <w:t>.</w:t>
      </w:r>
      <w:r w:rsidRPr="00E579AD">
        <w:rPr>
          <w:sz w:val="16"/>
          <w:szCs w:val="16"/>
        </w:rPr>
        <w:t xml:space="preserve"> 74, agendapunt 14</w:t>
      </w:r>
      <w:r w:rsidR="00E579AD">
        <w:rPr>
          <w:sz w:val="16"/>
          <w:szCs w:val="16"/>
        </w:rPr>
        <w:t>, t</w:t>
      </w:r>
      <w:r w:rsidR="00E579AD" w:rsidRPr="00E579AD">
        <w:rPr>
          <w:sz w:val="16"/>
          <w:szCs w:val="16"/>
        </w:rPr>
        <w:t xml:space="preserve">e raadplegen via </w:t>
      </w:r>
      <w:hyperlink r:id="rId2" w:history="1">
        <w:r w:rsidR="00E579AD" w:rsidRPr="00E579AD">
          <w:rPr>
            <w:rStyle w:val="Hyperlink"/>
            <w:sz w:val="16"/>
            <w:szCs w:val="16"/>
          </w:rPr>
          <w:t>www.raadsnetharen.nl</w:t>
        </w:r>
      </w:hyperlink>
      <w:r w:rsidR="00E579AD" w:rsidRPr="00E579AD">
        <w:rPr>
          <w:sz w:val="16"/>
          <w:szCs w:val="16"/>
        </w:rPr>
        <w:t>.</w:t>
      </w:r>
    </w:p>
  </w:footnote>
  <w:footnote w:id="4">
    <w:p w:rsidR="00DB6481" w:rsidRPr="00E579AD" w:rsidRDefault="00DB6481" w:rsidP="005413BF">
      <w:pPr>
        <w:pStyle w:val="Voetnoottekst"/>
        <w:rPr>
          <w:sz w:val="16"/>
          <w:szCs w:val="16"/>
        </w:rPr>
      </w:pPr>
      <w:r w:rsidRPr="00E579AD">
        <w:rPr>
          <w:rStyle w:val="Voetnootmarkering"/>
          <w:sz w:val="16"/>
          <w:szCs w:val="16"/>
        </w:rPr>
        <w:footnoteRef/>
      </w:r>
      <w:r w:rsidRPr="00E579AD">
        <w:rPr>
          <w:sz w:val="16"/>
          <w:szCs w:val="16"/>
        </w:rPr>
        <w:t xml:space="preserve"> </w:t>
      </w:r>
      <w:r w:rsidRPr="00E579AD">
        <w:rPr>
          <w:rStyle w:val="Verwijzingopmerking"/>
        </w:rPr>
        <w:t xml:space="preserve">Het rapport is </w:t>
      </w:r>
      <w:r w:rsidRPr="00E579AD">
        <w:rPr>
          <w:sz w:val="16"/>
          <w:szCs w:val="16"/>
        </w:rPr>
        <w:t xml:space="preserve">te raadplegen via </w:t>
      </w:r>
      <w:hyperlink r:id="rId3" w:history="1">
        <w:r w:rsidRPr="00E579AD">
          <w:rPr>
            <w:rStyle w:val="Hyperlink"/>
            <w:sz w:val="16"/>
            <w:szCs w:val="16"/>
          </w:rPr>
          <w:t>https://www.herindelingghtb.nl/</w:t>
        </w:r>
      </w:hyperlink>
      <w:r w:rsidRPr="00E579AD">
        <w:rPr>
          <w:sz w:val="16"/>
          <w:szCs w:val="16"/>
        </w:rPr>
        <w:t>.</w:t>
      </w:r>
    </w:p>
  </w:footnote>
  <w:footnote w:id="5">
    <w:p w:rsidR="00DB6481" w:rsidRPr="00E579AD" w:rsidRDefault="00DB6481" w:rsidP="005413BF">
      <w:pPr>
        <w:pStyle w:val="Voetnoottekst"/>
        <w:rPr>
          <w:sz w:val="16"/>
          <w:szCs w:val="16"/>
        </w:rPr>
      </w:pPr>
      <w:r w:rsidRPr="00E579AD">
        <w:rPr>
          <w:rStyle w:val="Voetnootmarkering"/>
          <w:sz w:val="16"/>
          <w:szCs w:val="16"/>
        </w:rPr>
        <w:footnoteRef/>
      </w:r>
      <w:r w:rsidRPr="00E579AD">
        <w:rPr>
          <w:sz w:val="16"/>
          <w:szCs w:val="16"/>
        </w:rPr>
        <w:t xml:space="preserve"> De hoofdconclusies van de rapporten zijn opgenomen in bijlage III bij het herindelingsadvies.</w:t>
      </w:r>
    </w:p>
  </w:footnote>
  <w:footnote w:id="6">
    <w:p w:rsidR="00DB6481" w:rsidRPr="00E579AD" w:rsidRDefault="00DB6481" w:rsidP="005413BF">
      <w:pPr>
        <w:pStyle w:val="Voetnoottekst"/>
        <w:rPr>
          <w:sz w:val="16"/>
          <w:szCs w:val="16"/>
        </w:rPr>
      </w:pPr>
      <w:r w:rsidRPr="00E579AD">
        <w:rPr>
          <w:rStyle w:val="Voetnootmarkering"/>
          <w:sz w:val="16"/>
          <w:szCs w:val="16"/>
        </w:rPr>
        <w:footnoteRef/>
      </w:r>
      <w:r w:rsidRPr="00E579AD">
        <w:rPr>
          <w:sz w:val="16"/>
          <w:szCs w:val="16"/>
        </w:rPr>
        <w:t xml:space="preserve"> Kamerstukken II 2017/18, 28750, nr. 65 en Staatscourant 2017, nr. 72128.</w:t>
      </w:r>
    </w:p>
  </w:footnote>
  <w:footnote w:id="7">
    <w:p w:rsidR="00DB6481" w:rsidRPr="00E579AD" w:rsidRDefault="00DB6481" w:rsidP="005413BF">
      <w:pPr>
        <w:pStyle w:val="Voetnoottekst"/>
        <w:rPr>
          <w:sz w:val="16"/>
          <w:szCs w:val="16"/>
        </w:rPr>
      </w:pPr>
      <w:r w:rsidRPr="00E579AD">
        <w:rPr>
          <w:rStyle w:val="Voetnootmarkering"/>
          <w:sz w:val="16"/>
          <w:szCs w:val="16"/>
        </w:rPr>
        <w:footnoteRef/>
      </w:r>
      <w:r w:rsidRPr="00E579AD">
        <w:rPr>
          <w:sz w:val="16"/>
          <w:szCs w:val="16"/>
        </w:rPr>
        <w:t xml:space="preserve"> Kamerstukken II 2014/15, 28 750, nr. 62.</w:t>
      </w:r>
    </w:p>
  </w:footnote>
  <w:footnote w:id="8">
    <w:p w:rsidR="000E39F0" w:rsidRPr="00E579AD" w:rsidRDefault="000E39F0" w:rsidP="005413BF">
      <w:pPr>
        <w:pStyle w:val="Voetnoottekst"/>
        <w:rPr>
          <w:sz w:val="16"/>
          <w:szCs w:val="16"/>
        </w:rPr>
      </w:pPr>
      <w:r w:rsidRPr="00E579AD">
        <w:rPr>
          <w:rStyle w:val="Voetnootmarkering"/>
          <w:sz w:val="16"/>
          <w:szCs w:val="16"/>
        </w:rPr>
        <w:footnoteRef/>
      </w:r>
      <w:r w:rsidRPr="00E579AD">
        <w:rPr>
          <w:sz w:val="16"/>
          <w:szCs w:val="16"/>
        </w:rPr>
        <w:t xml:space="preserve"> COELO, Atlas van de lokale lasten 2017.</w:t>
      </w:r>
    </w:p>
  </w:footnote>
  <w:footnote w:id="9">
    <w:p w:rsidR="005413BF" w:rsidRPr="00E579AD" w:rsidRDefault="005413BF" w:rsidP="005413BF">
      <w:pPr>
        <w:pStyle w:val="Voetnoottekst"/>
        <w:rPr>
          <w:sz w:val="16"/>
          <w:szCs w:val="16"/>
        </w:rPr>
      </w:pPr>
      <w:r w:rsidRPr="00E579AD">
        <w:rPr>
          <w:rStyle w:val="Voetnootmarkering"/>
          <w:sz w:val="16"/>
          <w:szCs w:val="16"/>
        </w:rPr>
        <w:footnoteRef/>
      </w:r>
      <w:r w:rsidRPr="00E579AD">
        <w:rPr>
          <w:sz w:val="16"/>
          <w:szCs w:val="16"/>
        </w:rPr>
        <w:t xml:space="preserve"> De provincie heeft als financieel toezichthouder opgemerkt dat in de begroting 2018 van de gemeente Haren een onjuist bedrag is overgenomen van het COELO. In het staatje ‘lokale lastendruk in vergelijking met andere gemeenten’ is het bedrag aan OZB-eigenaren woonlasten voor de gemeente Groningen te hoog overgenomen. Het totaal dient € 745 te zijn in plaats van de gepresenteerde € 934 en geeft hiermee een verkeerd beeld van de verhoudingen.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481" w:rsidRDefault="00DB6481">
    <w:r>
      <w:c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30E828"/>
    <w:multiLevelType w:val="multilevel"/>
    <w:tmpl w:val="DBCB6FB5"/>
    <w:name w:val="Convenant nummering Artikel"/>
    <w:lvl w:ilvl="0">
      <w:start w:val="1"/>
      <w:numFmt w:val="decimal"/>
      <w:pStyle w:val="ConvenantArtikel"/>
      <w:lvlText w:val="Artikel %1"/>
      <w:lvlJc w:val="left"/>
      <w:pPr>
        <w:ind w:left="1411" w:hanging="1411"/>
      </w:pPr>
    </w:lvl>
    <w:lvl w:ilvl="1">
      <w:start w:val="1"/>
      <w:numFmt w:val="decimal"/>
      <w:pStyle w:val="ConvenantLid"/>
      <w:lvlText w:val="%2."/>
      <w:lvlJc w:val="left"/>
      <w:pPr>
        <w:ind w:left="1411" w:hanging="1411"/>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84AE6F01"/>
    <w:multiLevelType w:val="multilevel"/>
    <w:tmpl w:val="24631E77"/>
    <w:name w:val="Logius Bullets"/>
    <w:lvl w:ilvl="0">
      <w:start w:val="1"/>
      <w:numFmt w:val="bullet"/>
      <w:pStyle w:val="LogiusBulletsRapport"/>
      <w:lvlText w:val="●"/>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92484799"/>
    <w:multiLevelType w:val="multilevel"/>
    <w:tmpl w:val="EE245F5E"/>
    <w:name w:val="Artikel niveau 2"/>
    <w:lvl w:ilvl="0">
      <w:start w:val="1"/>
      <w:numFmt w:val="decimal"/>
      <w:lvlText w:val="%1."/>
      <w:lvlJc w:val="left"/>
      <w:pPr>
        <w:ind w:left="1120" w:hanging="1120"/>
      </w:pPr>
    </w:lvl>
    <w:lvl w:ilvl="1">
      <w:start w:val="1"/>
      <w:numFmt w:val="decimal"/>
      <w:pStyle w:val="LogiusArtikelniveau2"/>
      <w:lvlText w:val="%1.%2."/>
      <w:lvlJc w:val="left"/>
      <w:pPr>
        <w:ind w:left="1120" w:hanging="11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9A55D138"/>
    <w:multiLevelType w:val="multilevel"/>
    <w:tmpl w:val="7DF2FE44"/>
    <w:name w:val="Wob_Bijlage_Leden_Artikel_6"/>
    <w:lvl w:ilvl="0">
      <w:start w:val="1"/>
      <w:numFmt w:val="decimal"/>
      <w:pStyle w:val="LedenArt6"/>
      <w:lvlText w:val="%1."/>
      <w:lvlJc w:val="left"/>
      <w:pPr>
        <w:ind w:left="220" w:hanging="220"/>
      </w:pPr>
    </w:lvl>
    <w:lvl w:ilvl="1">
      <w:start w:val="1"/>
      <w:numFmt w:val="lowerLetter"/>
      <w:pStyle w:val="LedenArt6niv2"/>
      <w:lvlText w:val="%2."/>
      <w:lvlJc w:val="left"/>
      <w:pPr>
        <w:ind w:left="714" w:hanging="357"/>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9C2C75FF"/>
    <w:multiLevelType w:val="multilevel"/>
    <w:tmpl w:val="D9E5F7E3"/>
    <w:name w:val="Logius Nummering Extra Lijst"/>
    <w:lvl w:ilvl="0">
      <w:start w:val="1"/>
      <w:numFmt w:val="decimal"/>
      <w:pStyle w:val="LogiusNummeringExtra"/>
      <w:lvlText w:val="%1."/>
      <w:lvlJc w:val="left"/>
      <w:pPr>
        <w:ind w:left="1120" w:hanging="11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9F380ECD"/>
    <w:multiLevelType w:val="multilevel"/>
    <w:tmpl w:val="E29A398A"/>
    <w:name w:val="Convenant lettering Artikel"/>
    <w:lvl w:ilvl="0">
      <w:start w:val="1"/>
      <w:numFmt w:val="lowerLetter"/>
      <w:pStyle w:val="ConvenantLidletterstijl"/>
      <w:lvlText w:val="%1."/>
      <w:lvlJc w:val="left"/>
      <w:pPr>
        <w:ind w:left="714" w:hanging="714"/>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B3886CF3"/>
    <w:multiLevelType w:val="multilevel"/>
    <w:tmpl w:val="8AA10637"/>
    <w:name w:val="Bijlage_Lid_Artikel"/>
    <w:lvl w:ilvl="0">
      <w:start w:val="1"/>
      <w:numFmt w:val="lowerLetter"/>
      <w:pStyle w:val="WOBBesluitBijlageLidArtikel"/>
      <w:lvlText w:val="%1."/>
      <w:lvlJc w:val="left"/>
      <w:pPr>
        <w:ind w:left="400" w:hanging="4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D7F657C2"/>
    <w:multiLevelType w:val="multilevel"/>
    <w:tmpl w:val="FFE2B272"/>
    <w:name w:val="RVIG Letteropsomming"/>
    <w:lvl w:ilvl="0">
      <w:start w:val="1"/>
      <w:numFmt w:val="upperLetter"/>
      <w:pStyle w:val="RVIGTekstbesluitmetletters"/>
      <w:lvlText w:val="%1."/>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D9CF45DF"/>
    <w:multiLevelType w:val="multilevel"/>
    <w:tmpl w:val="80358642"/>
    <w:name w:val="Logius Rapportsoorten"/>
    <w:lvl w:ilvl="0">
      <w:start w:val="1"/>
      <w:numFmt w:val="decimal"/>
      <w:pStyle w:val="Hoofdstuk"/>
      <w:lvlText w:val="%1."/>
      <w:lvlJc w:val="left"/>
      <w:pPr>
        <w:ind w:left="0" w:hanging="1120"/>
      </w:pPr>
    </w:lvl>
    <w:lvl w:ilvl="1">
      <w:start w:val="1"/>
      <w:numFmt w:val="decimal"/>
      <w:pStyle w:val="Paragraaf"/>
      <w:lvlText w:val="%1.%2."/>
      <w:lvlJc w:val="left"/>
      <w:pPr>
        <w:ind w:left="0" w:hanging="1120"/>
      </w:pPr>
    </w:lvl>
    <w:lvl w:ilvl="2">
      <w:start w:val="1"/>
      <w:numFmt w:val="decimal"/>
      <w:pStyle w:val="Subparagraaf"/>
      <w:lvlText w:val="%1.%2.%3."/>
      <w:lvlJc w:val="left"/>
      <w:pPr>
        <w:ind w:left="0" w:hanging="1120"/>
      </w:pPr>
    </w:lvl>
    <w:lvl w:ilvl="3">
      <w:start w:val="1"/>
      <w:numFmt w:val="decimal"/>
      <w:pStyle w:val="Subparagraaf2"/>
      <w:lvlText w:val="%1.%2.%3.%4."/>
      <w:lvlJc w:val="left"/>
      <w:pPr>
        <w:ind w:left="0" w:hanging="112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E6455677"/>
    <w:multiLevelType w:val="multilevel"/>
    <w:tmpl w:val="0C853AAD"/>
    <w:name w:val="Bijlage_Kop"/>
    <w:lvl w:ilvl="0">
      <w:start w:val="1"/>
      <w:numFmt w:val="decimal"/>
      <w:pStyle w:val="WOBBesluitBijlageKop"/>
      <w:lvlText w:val="Bijlage %1. -"/>
      <w:lvlJc w:val="left"/>
      <w:pPr>
        <w:ind w:left="1120" w:hanging="11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EB2DF28C"/>
    <w:multiLevelType w:val="multilevel"/>
    <w:tmpl w:val="13B3A76C"/>
    <w:name w:val="Opsomming hoofdletters"/>
    <w:lvl w:ilvl="0">
      <w:start w:val="1"/>
      <w:numFmt w:val="upperLetter"/>
      <w:pStyle w:val="LogiusOpsommingHoofdletters"/>
      <w:lvlText w:val="%1."/>
      <w:lvlJc w:val="left"/>
      <w:pPr>
        <w:ind w:left="714"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F2B0A803"/>
    <w:multiLevelType w:val="multilevel"/>
    <w:tmpl w:val="0283D302"/>
    <w:name w:val="Wob_Bijlage_Leden_Artikel_1"/>
    <w:lvl w:ilvl="0">
      <w:start w:val="1"/>
      <w:numFmt w:val="lowerLetter"/>
      <w:pStyle w:val="LedenArt1"/>
      <w:lvlText w:val="%1."/>
      <w:lvlJc w:val="left"/>
      <w:pPr>
        <w:ind w:left="714" w:hanging="357"/>
      </w:pPr>
    </w:lvl>
    <w:lvl w:ilvl="1">
      <w:start w:val="1"/>
      <w:numFmt w:val="decimal"/>
      <w:pStyle w:val="LedenArt1niv2"/>
      <w:lvlText w:val="%2."/>
      <w:lvlJc w:val="left"/>
      <w:pPr>
        <w:ind w:left="1145" w:hanging="334"/>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F359A564"/>
    <w:multiLevelType w:val="multilevel"/>
    <w:tmpl w:val="AF4BD039"/>
    <w:name w:val="Bijlage_Lid_Artikel_Genummerd"/>
    <w:lvl w:ilvl="0">
      <w:start w:val="1"/>
      <w:numFmt w:val="decimal"/>
      <w:pStyle w:val="WOBBesluitLidgenummerd"/>
      <w:lvlText w:val="%1."/>
      <w:lvlJc w:val="left"/>
      <w:pPr>
        <w:ind w:left="22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F71FBECC"/>
    <w:multiLevelType w:val="multilevel"/>
    <w:tmpl w:val="2A4BB8DB"/>
    <w:name w:val="RC Streepje"/>
    <w:lvl w:ilvl="0">
      <w:start w:val="1"/>
      <w:numFmt w:val="decimal"/>
      <w:pStyle w:val="RCOpsommingstreepje"/>
      <w:lvlText w:val="-"/>
      <w:lvlJc w:val="left"/>
      <w:pPr>
        <w:ind w:left="740" w:hanging="3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F9C3D2DB"/>
    <w:multiLevelType w:val="multilevel"/>
    <w:tmpl w:val="EC371AFF"/>
    <w:name w:val="Wob_Bijlage_Leden_Artikel_10"/>
    <w:lvl w:ilvl="0">
      <w:start w:val="1"/>
      <w:numFmt w:val="decimal"/>
      <w:pStyle w:val="LedenArt10"/>
      <w:lvlText w:val="%1."/>
      <w:lvlJc w:val="left"/>
      <w:pPr>
        <w:ind w:left="220" w:hanging="220"/>
      </w:pPr>
    </w:lvl>
    <w:lvl w:ilvl="1">
      <w:start w:val="1"/>
      <w:numFmt w:val="lowerLetter"/>
      <w:pStyle w:val="LedenArt10niv2"/>
      <w:lvlText w:val="%2."/>
      <w:lvlJc w:val="left"/>
      <w:pPr>
        <w:ind w:left="714" w:hanging="357"/>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FB4BDE06"/>
    <w:multiLevelType w:val="multilevel"/>
    <w:tmpl w:val="D7EA80AF"/>
    <w:name w:val="Convenant lettering inspring"/>
    <w:lvl w:ilvl="0">
      <w:start w:val="1"/>
      <w:numFmt w:val="lowerLetter"/>
      <w:pStyle w:val="Convenantlidletterstijlinspring"/>
      <w:lvlText w:val="%1."/>
      <w:lvlJc w:val="left"/>
      <w:pPr>
        <w:ind w:left="2120" w:hanging="702"/>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BCD544F"/>
    <w:multiLevelType w:val="multilevel"/>
    <w:tmpl w:val="7B0F8637"/>
    <w:name w:val="Rapport"/>
    <w:lvl w:ilvl="0">
      <w:start w:val="1"/>
      <w:numFmt w:val="decimal"/>
      <w:pStyle w:val="RapportNiveau1"/>
      <w:lvlText w:val="%1."/>
      <w:lvlJc w:val="left"/>
      <w:pPr>
        <w:ind w:left="1120" w:hanging="1120"/>
      </w:pPr>
    </w:lvl>
    <w:lvl w:ilvl="1">
      <w:start w:val="1"/>
      <w:numFmt w:val="decimal"/>
      <w:pStyle w:val="RapportNiveau2"/>
      <w:lvlText w:val="%1.%2."/>
      <w:lvlJc w:val="left"/>
      <w:pPr>
        <w:ind w:left="1120" w:hanging="1120"/>
      </w:pPr>
    </w:lvl>
    <w:lvl w:ilvl="2">
      <w:start w:val="1"/>
      <w:numFmt w:val="decimal"/>
      <w:pStyle w:val="RapportNiveau3"/>
      <w:lvlText w:val="%1.%2.%3."/>
      <w:lvlJc w:val="left"/>
      <w:pPr>
        <w:ind w:left="1120" w:hanging="1120"/>
      </w:pPr>
    </w:lvl>
    <w:lvl w:ilvl="3">
      <w:start w:val="1"/>
      <w:numFmt w:val="decimal"/>
      <w:pStyle w:val="RapportNiveau4"/>
      <w:lvlText w:val=""/>
      <w:lvlJc w:val="left"/>
      <w:pPr>
        <w:ind w:left="1120" w:hanging="1120"/>
      </w:pPr>
    </w:lvl>
    <w:lvl w:ilvl="4">
      <w:start w:val="1"/>
      <w:numFmt w:val="bullet"/>
      <w:pStyle w:val="RapportNiveau5"/>
      <w:lvlText w:val="●"/>
      <w:lvlJc w:val="left"/>
      <w:pPr>
        <w:ind w:left="1600" w:hanging="360"/>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1B20361"/>
    <w:multiLevelType w:val="multilevel"/>
    <w:tmpl w:val="42CF86BD"/>
    <w:name w:val="Wob_Bijlage_Leden_Artikel_3"/>
    <w:lvl w:ilvl="0">
      <w:start w:val="1"/>
      <w:numFmt w:val="decimal"/>
      <w:pStyle w:val="LedenArt3"/>
      <w:lvlText w:val="%1."/>
      <w:lvlJc w:val="left"/>
      <w:pPr>
        <w:ind w:left="22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C5CFF07"/>
    <w:multiLevelType w:val="multilevel"/>
    <w:tmpl w:val="A6CA12B0"/>
    <w:name w:val="Wob_Bijlage_Leden_Artikel_7"/>
    <w:lvl w:ilvl="0">
      <w:start w:val="1"/>
      <w:numFmt w:val="decimal"/>
      <w:pStyle w:val="LedenArt7"/>
      <w:lvlText w:val="%1."/>
      <w:lvlJc w:val="left"/>
      <w:pPr>
        <w:ind w:left="220" w:hanging="220"/>
      </w:pPr>
    </w:lvl>
    <w:lvl w:ilvl="1">
      <w:start w:val="1"/>
      <w:numFmt w:val="lowerLetter"/>
      <w:pStyle w:val="LedenArt7niv2"/>
      <w:lvlText w:val="%2."/>
      <w:lvlJc w:val="left"/>
      <w:pPr>
        <w:ind w:left="714" w:hanging="357"/>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153D4B6"/>
    <w:multiLevelType w:val="multilevel"/>
    <w:tmpl w:val="E817F935"/>
    <w:name w:val="Artikel"/>
    <w:lvl w:ilvl="0">
      <w:start w:val="1"/>
      <w:numFmt w:val="decimal"/>
      <w:pStyle w:val="LogiusArtikelniveau1"/>
      <w:lvlText w:val="Artikel %1."/>
      <w:lvlJc w:val="left"/>
      <w:pPr>
        <w:ind w:left="1120" w:hanging="1120"/>
      </w:pPr>
    </w:lvl>
    <w:lvl w:ilvl="1">
      <w:start w:val="1"/>
      <w:numFmt w:val="decimal"/>
      <w:lvlText w:val="%1.%2."/>
      <w:lvlJc w:val="left"/>
      <w:pPr>
        <w:ind w:left="520" w:hanging="5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29F06D4"/>
    <w:multiLevelType w:val="multilevel"/>
    <w:tmpl w:val="DFB024BC"/>
    <w:name w:val="RC_abc"/>
    <w:lvl w:ilvl="0">
      <w:start w:val="1"/>
      <w:numFmt w:val="lowerLetter"/>
      <w:pStyle w:val="RCabcalinea"/>
      <w:lvlText w:val="%1."/>
      <w:lvlJc w:val="left"/>
      <w:pPr>
        <w:ind w:left="740" w:hanging="3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7B828BE"/>
    <w:multiLevelType w:val="multilevel"/>
    <w:tmpl w:val="4C3080AF"/>
    <w:name w:val="Logius Behoeftestelling Bullet"/>
    <w:lvl w:ilvl="0">
      <w:start w:val="1"/>
      <w:numFmt w:val="decimal"/>
      <w:pStyle w:val="Logiustekstmetopsommingniveau1"/>
      <w:lvlText w:val="o"/>
      <w:lvlJc w:val="left"/>
      <w:pPr>
        <w:ind w:left="720" w:hanging="364"/>
      </w:pPr>
    </w:lvl>
    <w:lvl w:ilvl="1">
      <w:start w:val="1"/>
      <w:numFmt w:val="decimal"/>
      <w:pStyle w:val="Logiustekstmetopsommingniveau2"/>
      <w:lvlText w:val="o"/>
      <w:lvlJc w:val="left"/>
      <w:pPr>
        <w:ind w:left="1084" w:hanging="364"/>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42C3568"/>
    <w:multiLevelType w:val="multilevel"/>
    <w:tmpl w:val="1DC851E9"/>
    <w:name w:val="RVIG Cijferopsomming"/>
    <w:lvl w:ilvl="0">
      <w:start w:val="1"/>
      <w:numFmt w:val="decimal"/>
      <w:pStyle w:val="RvIGTekstbesluitmetcijfers"/>
      <w:lvlText w:val="%1."/>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8711DAE"/>
    <w:multiLevelType w:val="multilevel"/>
    <w:tmpl w:val="60807C05"/>
    <w:name w:val="Logius MT Notitie opsomming bullet"/>
    <w:lvl w:ilvl="0">
      <w:start w:val="1"/>
      <w:numFmt w:val="bullet"/>
      <w:pStyle w:val="LogiusMTNotitiebullet"/>
      <w:lvlText w:val="●"/>
      <w:lvlJc w:val="left"/>
      <w:pPr>
        <w:ind w:left="1020" w:hanging="340"/>
      </w:pPr>
    </w:lvl>
    <w:lvl w:ilvl="1">
      <w:start w:val="1"/>
      <w:numFmt w:val="none"/>
      <w:pStyle w:val="LogiusMTNotitieopsommingniv2"/>
      <w:lvlText w:val=""/>
      <w:lvlJc w:val="left"/>
      <w:pPr>
        <w:ind w:left="340" w:hanging="34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B007DE6"/>
    <w:multiLevelType w:val="hybridMultilevel"/>
    <w:tmpl w:val="3E06C65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nsid w:val="4C5400B9"/>
    <w:multiLevelType w:val="hybridMultilevel"/>
    <w:tmpl w:val="B75CEF1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nsid w:val="51B78B10"/>
    <w:multiLevelType w:val="multilevel"/>
    <w:tmpl w:val="2D921DF7"/>
    <w:name w:val="Logius Opsomming 1a"/>
    <w:lvl w:ilvl="0">
      <w:start w:val="1"/>
      <w:numFmt w:val="decimal"/>
      <w:pStyle w:val="LogiusOpsomming1aniv1"/>
      <w:lvlText w:val="%1."/>
      <w:lvlJc w:val="left"/>
      <w:pPr>
        <w:ind w:left="1120" w:hanging="1120"/>
      </w:pPr>
    </w:lvl>
    <w:lvl w:ilvl="1">
      <w:start w:val="1"/>
      <w:numFmt w:val="lowerLetter"/>
      <w:pStyle w:val="LogiusOpsomming1aniv2"/>
      <w:lvlText w:val="%2."/>
      <w:lvlJc w:val="left"/>
      <w:pPr>
        <w:ind w:left="2240" w:hanging="11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6BC2EBD"/>
    <w:multiLevelType w:val="hybridMultilevel"/>
    <w:tmpl w:val="7D884950"/>
    <w:lvl w:ilvl="0" w:tplc="4F8C4668">
      <w:start w:val="1"/>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8">
    <w:nsid w:val="5D12BDAC"/>
    <w:multiLevelType w:val="multilevel"/>
    <w:tmpl w:val="67C278E8"/>
    <w:name w:val="Robrfvopsommingslijst"/>
    <w:lvl w:ilvl="0">
      <w:start w:val="1"/>
      <w:numFmt w:val="decimal"/>
      <w:pStyle w:val="Robrfvniv1b11"/>
      <w:lvlText w:val="%1."/>
      <w:lvlJc w:val="left"/>
      <w:pPr>
        <w:ind w:left="420" w:hanging="420"/>
      </w:pPr>
    </w:lvl>
    <w:lvl w:ilvl="1">
      <w:start w:val="1"/>
      <w:numFmt w:val="bullet"/>
      <w:pStyle w:val="Robrfvniv2"/>
      <w:lvlText w:val="●"/>
      <w:lvlJc w:val="left"/>
      <w:pPr>
        <w:ind w:left="740" w:hanging="320"/>
      </w:pPr>
    </w:lvl>
    <w:lvl w:ilvl="2">
      <w:start w:val="1"/>
      <w:numFmt w:val="lowerLetter"/>
      <w:pStyle w:val="Robabcvet"/>
      <w:lvlText w:val="%3."/>
      <w:lvlJc w:val="left"/>
      <w:pPr>
        <w:ind w:left="740" w:hanging="320"/>
      </w:pPr>
    </w:lvl>
    <w:lvl w:ilvl="3">
      <w:start w:val="1"/>
      <w:numFmt w:val="decimal"/>
      <w:pStyle w:val="Robrfvniv3standaard"/>
      <w:lvlText w:val=""/>
      <w:lvlJc w:val="left"/>
      <w:pPr>
        <w:ind w:left="740" w:hanging="320"/>
      </w:pPr>
    </w:lvl>
    <w:lvl w:ilvl="4">
      <w:start w:val="1"/>
      <w:numFmt w:val="decimal"/>
      <w:pStyle w:val="Robrfvniv5"/>
      <w:lvlText w:val=""/>
      <w:lvlJc w:val="left"/>
      <w:pPr>
        <w:ind w:left="420" w:hanging="420"/>
      </w:pPr>
    </w:lvl>
    <w:lvl w:ilvl="5">
      <w:start w:val="1"/>
      <w:numFmt w:val="lowerLetter"/>
      <w:pStyle w:val="Robrfvabc"/>
      <w:lvlText w:val="%6."/>
      <w:lvlJc w:val="left"/>
      <w:pPr>
        <w:ind w:left="740" w:hanging="320"/>
      </w:pPr>
    </w:lvl>
    <w:lvl w:ilvl="6">
      <w:numFmt w:val="decimal"/>
      <w:lvlText w:val=""/>
      <w:lvlJc w:val="left"/>
    </w:lvl>
    <w:lvl w:ilvl="7">
      <w:numFmt w:val="decimal"/>
      <w:lvlText w:val=""/>
      <w:lvlJc w:val="left"/>
    </w:lvl>
    <w:lvl w:ilvl="8">
      <w:numFmt w:val="decimal"/>
      <w:lvlText w:val=""/>
      <w:lvlJc w:val="left"/>
    </w:lvl>
  </w:abstractNum>
  <w:abstractNum w:abstractNumId="29">
    <w:nsid w:val="7C21CB32"/>
    <w:multiLevelType w:val="multilevel"/>
    <w:tmpl w:val="109BCC21"/>
    <w:name w:val="Logius MT Notitie opsomming nummering"/>
    <w:lvl w:ilvl="0">
      <w:start w:val="1"/>
      <w:numFmt w:val="decimal"/>
      <w:pStyle w:val="LogiusMTNotitieopsomming"/>
      <w:lvlText w:val="%1."/>
      <w:lvlJc w:val="left"/>
      <w:pPr>
        <w:ind w:left="680" w:hanging="34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C7C7751"/>
    <w:multiLevelType w:val="multilevel"/>
    <w:tmpl w:val="11CA683B"/>
    <w:name w:val="Wob_Bijlage_Leden_Artikel_11"/>
    <w:lvl w:ilvl="0">
      <w:start w:val="1"/>
      <w:numFmt w:val="decimal"/>
      <w:pStyle w:val="LedenArt11"/>
      <w:lvlText w:val="%1."/>
      <w:lvlJc w:val="left"/>
      <w:pPr>
        <w:ind w:left="22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2"/>
  </w:num>
  <w:num w:numId="3">
    <w:abstractNumId w:val="9"/>
  </w:num>
  <w:num w:numId="4">
    <w:abstractNumId w:val="6"/>
  </w:num>
  <w:num w:numId="5">
    <w:abstractNumId w:val="12"/>
  </w:num>
  <w:num w:numId="6">
    <w:abstractNumId w:val="5"/>
  </w:num>
  <w:num w:numId="7">
    <w:abstractNumId w:val="15"/>
  </w:num>
  <w:num w:numId="8">
    <w:abstractNumId w:val="0"/>
  </w:num>
  <w:num w:numId="9">
    <w:abstractNumId w:val="21"/>
  </w:num>
  <w:num w:numId="10">
    <w:abstractNumId w:val="1"/>
  </w:num>
  <w:num w:numId="11">
    <w:abstractNumId w:val="23"/>
  </w:num>
  <w:num w:numId="12">
    <w:abstractNumId w:val="29"/>
  </w:num>
  <w:num w:numId="13">
    <w:abstractNumId w:val="4"/>
  </w:num>
  <w:num w:numId="14">
    <w:abstractNumId w:val="26"/>
  </w:num>
  <w:num w:numId="15">
    <w:abstractNumId w:val="8"/>
  </w:num>
  <w:num w:numId="16">
    <w:abstractNumId w:val="10"/>
  </w:num>
  <w:num w:numId="17">
    <w:abstractNumId w:val="16"/>
  </w:num>
  <w:num w:numId="18">
    <w:abstractNumId w:val="13"/>
  </w:num>
  <w:num w:numId="19">
    <w:abstractNumId w:val="20"/>
  </w:num>
  <w:num w:numId="20">
    <w:abstractNumId w:val="28"/>
  </w:num>
  <w:num w:numId="21">
    <w:abstractNumId w:val="22"/>
  </w:num>
  <w:num w:numId="22">
    <w:abstractNumId w:val="7"/>
  </w:num>
  <w:num w:numId="23">
    <w:abstractNumId w:val="11"/>
  </w:num>
  <w:num w:numId="24">
    <w:abstractNumId w:val="14"/>
  </w:num>
  <w:num w:numId="25">
    <w:abstractNumId w:val="30"/>
  </w:num>
  <w:num w:numId="26">
    <w:abstractNumId w:val="17"/>
  </w:num>
  <w:num w:numId="27">
    <w:abstractNumId w:val="3"/>
  </w:num>
  <w:num w:numId="28">
    <w:abstractNumId w:val="18"/>
  </w:num>
  <w:num w:numId="29">
    <w:abstractNumId w:val="27"/>
  </w:num>
  <w:num w:numId="30">
    <w:abstractNumId w:val="25"/>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461B0"/>
    <w:rsid w:val="00010EA3"/>
    <w:rsid w:val="00010F2C"/>
    <w:rsid w:val="0002038B"/>
    <w:rsid w:val="0002369D"/>
    <w:rsid w:val="000240C5"/>
    <w:rsid w:val="00030246"/>
    <w:rsid w:val="00032AA2"/>
    <w:rsid w:val="00037800"/>
    <w:rsid w:val="000439CC"/>
    <w:rsid w:val="000522BC"/>
    <w:rsid w:val="00052DBD"/>
    <w:rsid w:val="000551FF"/>
    <w:rsid w:val="00062F3A"/>
    <w:rsid w:val="0006423F"/>
    <w:rsid w:val="00064C0E"/>
    <w:rsid w:val="0006526B"/>
    <w:rsid w:val="00075DB3"/>
    <w:rsid w:val="0008172C"/>
    <w:rsid w:val="00083598"/>
    <w:rsid w:val="0009779B"/>
    <w:rsid w:val="00097D5B"/>
    <w:rsid w:val="000A0353"/>
    <w:rsid w:val="000A69FE"/>
    <w:rsid w:val="000B1F5E"/>
    <w:rsid w:val="000B2F4D"/>
    <w:rsid w:val="000C2D5B"/>
    <w:rsid w:val="000D069C"/>
    <w:rsid w:val="000D40AC"/>
    <w:rsid w:val="000D6AFB"/>
    <w:rsid w:val="000E01EA"/>
    <w:rsid w:val="000E39F0"/>
    <w:rsid w:val="000F038E"/>
    <w:rsid w:val="0014316A"/>
    <w:rsid w:val="0014635A"/>
    <w:rsid w:val="001501A2"/>
    <w:rsid w:val="00156A9B"/>
    <w:rsid w:val="00165F09"/>
    <w:rsid w:val="0018209C"/>
    <w:rsid w:val="001851BA"/>
    <w:rsid w:val="00186F5D"/>
    <w:rsid w:val="00190E82"/>
    <w:rsid w:val="001944AC"/>
    <w:rsid w:val="001A7D5F"/>
    <w:rsid w:val="001B4FFF"/>
    <w:rsid w:val="001D3B1F"/>
    <w:rsid w:val="001F17AF"/>
    <w:rsid w:val="001F1F15"/>
    <w:rsid w:val="001F47DA"/>
    <w:rsid w:val="00206FE8"/>
    <w:rsid w:val="002224C0"/>
    <w:rsid w:val="00224BF8"/>
    <w:rsid w:val="00226E87"/>
    <w:rsid w:val="00262478"/>
    <w:rsid w:val="00283E45"/>
    <w:rsid w:val="00295E2C"/>
    <w:rsid w:val="00296669"/>
    <w:rsid w:val="00297C22"/>
    <w:rsid w:val="00297D68"/>
    <w:rsid w:val="002A10F5"/>
    <w:rsid w:val="002B4850"/>
    <w:rsid w:val="002C5505"/>
    <w:rsid w:val="002D4546"/>
    <w:rsid w:val="002E3105"/>
    <w:rsid w:val="002F45CE"/>
    <w:rsid w:val="002F5C1B"/>
    <w:rsid w:val="002F6529"/>
    <w:rsid w:val="00321639"/>
    <w:rsid w:val="003329B4"/>
    <w:rsid w:val="00332B1B"/>
    <w:rsid w:val="003359F7"/>
    <w:rsid w:val="00337A88"/>
    <w:rsid w:val="00363717"/>
    <w:rsid w:val="00374D6F"/>
    <w:rsid w:val="00374DAB"/>
    <w:rsid w:val="00380E93"/>
    <w:rsid w:val="003919C4"/>
    <w:rsid w:val="0039494D"/>
    <w:rsid w:val="003A43C7"/>
    <w:rsid w:val="003A46A1"/>
    <w:rsid w:val="003A6FA8"/>
    <w:rsid w:val="003B2E5A"/>
    <w:rsid w:val="003C5635"/>
    <w:rsid w:val="003E4485"/>
    <w:rsid w:val="003F1306"/>
    <w:rsid w:val="00424620"/>
    <w:rsid w:val="004304E6"/>
    <w:rsid w:val="00430B90"/>
    <w:rsid w:val="00433384"/>
    <w:rsid w:val="0043356B"/>
    <w:rsid w:val="00443438"/>
    <w:rsid w:val="00456F95"/>
    <w:rsid w:val="0046363B"/>
    <w:rsid w:val="00466E90"/>
    <w:rsid w:val="00472C83"/>
    <w:rsid w:val="004762A9"/>
    <w:rsid w:val="004774BB"/>
    <w:rsid w:val="00493167"/>
    <w:rsid w:val="004A234E"/>
    <w:rsid w:val="004A329C"/>
    <w:rsid w:val="004A7712"/>
    <w:rsid w:val="004C4CF7"/>
    <w:rsid w:val="004C6A0E"/>
    <w:rsid w:val="004C7263"/>
    <w:rsid w:val="004D064A"/>
    <w:rsid w:val="004E4296"/>
    <w:rsid w:val="005046C0"/>
    <w:rsid w:val="00507458"/>
    <w:rsid w:val="00515E14"/>
    <w:rsid w:val="00523B71"/>
    <w:rsid w:val="00525694"/>
    <w:rsid w:val="005307E9"/>
    <w:rsid w:val="005349B1"/>
    <w:rsid w:val="005400D6"/>
    <w:rsid w:val="005413BF"/>
    <w:rsid w:val="00550C23"/>
    <w:rsid w:val="00567D61"/>
    <w:rsid w:val="005845AC"/>
    <w:rsid w:val="005B2BED"/>
    <w:rsid w:val="005E08C7"/>
    <w:rsid w:val="005E11E7"/>
    <w:rsid w:val="005E50FF"/>
    <w:rsid w:val="005F6FCD"/>
    <w:rsid w:val="00606FF8"/>
    <w:rsid w:val="00616A2F"/>
    <w:rsid w:val="00621161"/>
    <w:rsid w:val="00625ECF"/>
    <w:rsid w:val="0062724B"/>
    <w:rsid w:val="00636EE2"/>
    <w:rsid w:val="00637A91"/>
    <w:rsid w:val="006461B0"/>
    <w:rsid w:val="00671382"/>
    <w:rsid w:val="00671976"/>
    <w:rsid w:val="00675405"/>
    <w:rsid w:val="00676532"/>
    <w:rsid w:val="006869C9"/>
    <w:rsid w:val="00691F36"/>
    <w:rsid w:val="006A0EAE"/>
    <w:rsid w:val="006A1701"/>
    <w:rsid w:val="006A6C6C"/>
    <w:rsid w:val="006C5880"/>
    <w:rsid w:val="006D2D98"/>
    <w:rsid w:val="006E752D"/>
    <w:rsid w:val="006F17D8"/>
    <w:rsid w:val="007069DF"/>
    <w:rsid w:val="00717608"/>
    <w:rsid w:val="00722F55"/>
    <w:rsid w:val="00723149"/>
    <w:rsid w:val="00731DCF"/>
    <w:rsid w:val="00736433"/>
    <w:rsid w:val="00737251"/>
    <w:rsid w:val="0076227A"/>
    <w:rsid w:val="007636ED"/>
    <w:rsid w:val="00764CB4"/>
    <w:rsid w:val="0077074E"/>
    <w:rsid w:val="00792192"/>
    <w:rsid w:val="007932B8"/>
    <w:rsid w:val="007A019F"/>
    <w:rsid w:val="007A16CA"/>
    <w:rsid w:val="007B0D7F"/>
    <w:rsid w:val="007B2326"/>
    <w:rsid w:val="007E0E17"/>
    <w:rsid w:val="007E649A"/>
    <w:rsid w:val="007F44F2"/>
    <w:rsid w:val="00810983"/>
    <w:rsid w:val="008171DB"/>
    <w:rsid w:val="00825169"/>
    <w:rsid w:val="00830DAE"/>
    <w:rsid w:val="008323DF"/>
    <w:rsid w:val="00840219"/>
    <w:rsid w:val="00856743"/>
    <w:rsid w:val="00857144"/>
    <w:rsid w:val="0087686C"/>
    <w:rsid w:val="00884528"/>
    <w:rsid w:val="00890B80"/>
    <w:rsid w:val="008B4EE6"/>
    <w:rsid w:val="008D72F4"/>
    <w:rsid w:val="008E4731"/>
    <w:rsid w:val="00906755"/>
    <w:rsid w:val="00911F61"/>
    <w:rsid w:val="00935992"/>
    <w:rsid w:val="00940759"/>
    <w:rsid w:val="009503DD"/>
    <w:rsid w:val="0096096C"/>
    <w:rsid w:val="00963586"/>
    <w:rsid w:val="0096665E"/>
    <w:rsid w:val="00966DF7"/>
    <w:rsid w:val="00971AC4"/>
    <w:rsid w:val="0098161A"/>
    <w:rsid w:val="00994324"/>
    <w:rsid w:val="009949EB"/>
    <w:rsid w:val="009A198C"/>
    <w:rsid w:val="009A6EFD"/>
    <w:rsid w:val="009B0731"/>
    <w:rsid w:val="009B0FBE"/>
    <w:rsid w:val="009C4324"/>
    <w:rsid w:val="009E48AF"/>
    <w:rsid w:val="009F25B9"/>
    <w:rsid w:val="00A011A0"/>
    <w:rsid w:val="00A01E4D"/>
    <w:rsid w:val="00A01FC0"/>
    <w:rsid w:val="00A123F6"/>
    <w:rsid w:val="00A20F08"/>
    <w:rsid w:val="00A240FE"/>
    <w:rsid w:val="00A2516A"/>
    <w:rsid w:val="00A3260E"/>
    <w:rsid w:val="00A47451"/>
    <w:rsid w:val="00A742E2"/>
    <w:rsid w:val="00A7462B"/>
    <w:rsid w:val="00A969A3"/>
    <w:rsid w:val="00A9796F"/>
    <w:rsid w:val="00AC5EDF"/>
    <w:rsid w:val="00AD2381"/>
    <w:rsid w:val="00AD3E2D"/>
    <w:rsid w:val="00AF0B0B"/>
    <w:rsid w:val="00B157CF"/>
    <w:rsid w:val="00B15E84"/>
    <w:rsid w:val="00B20FA4"/>
    <w:rsid w:val="00B23D7A"/>
    <w:rsid w:val="00B274BF"/>
    <w:rsid w:val="00B321E7"/>
    <w:rsid w:val="00B32939"/>
    <w:rsid w:val="00B43F87"/>
    <w:rsid w:val="00B57842"/>
    <w:rsid w:val="00B63FBD"/>
    <w:rsid w:val="00B678EA"/>
    <w:rsid w:val="00B7329B"/>
    <w:rsid w:val="00B902A8"/>
    <w:rsid w:val="00B92645"/>
    <w:rsid w:val="00BA18ED"/>
    <w:rsid w:val="00BA43EA"/>
    <w:rsid w:val="00BA7F4A"/>
    <w:rsid w:val="00BB0D62"/>
    <w:rsid w:val="00BB3C8C"/>
    <w:rsid w:val="00BC21E8"/>
    <w:rsid w:val="00BC5A7E"/>
    <w:rsid w:val="00BD5317"/>
    <w:rsid w:val="00BD61CB"/>
    <w:rsid w:val="00BE3990"/>
    <w:rsid w:val="00BE68FC"/>
    <w:rsid w:val="00BF0F89"/>
    <w:rsid w:val="00BF1A3F"/>
    <w:rsid w:val="00BF3C84"/>
    <w:rsid w:val="00BF4DF0"/>
    <w:rsid w:val="00C03D69"/>
    <w:rsid w:val="00C0590F"/>
    <w:rsid w:val="00C1449A"/>
    <w:rsid w:val="00C21872"/>
    <w:rsid w:val="00C2754E"/>
    <w:rsid w:val="00C36EDD"/>
    <w:rsid w:val="00C41A17"/>
    <w:rsid w:val="00C41DFE"/>
    <w:rsid w:val="00C44466"/>
    <w:rsid w:val="00C52449"/>
    <w:rsid w:val="00C62F89"/>
    <w:rsid w:val="00C6708F"/>
    <w:rsid w:val="00C75CE3"/>
    <w:rsid w:val="00C75DE1"/>
    <w:rsid w:val="00C830FA"/>
    <w:rsid w:val="00C86307"/>
    <w:rsid w:val="00C91F1E"/>
    <w:rsid w:val="00CA1271"/>
    <w:rsid w:val="00CA566F"/>
    <w:rsid w:val="00CB1B16"/>
    <w:rsid w:val="00CB1DC8"/>
    <w:rsid w:val="00CB7F63"/>
    <w:rsid w:val="00CC5368"/>
    <w:rsid w:val="00CC7225"/>
    <w:rsid w:val="00CD3A1F"/>
    <w:rsid w:val="00CD5CAE"/>
    <w:rsid w:val="00CF0F40"/>
    <w:rsid w:val="00CF4F9D"/>
    <w:rsid w:val="00D013AA"/>
    <w:rsid w:val="00D0585B"/>
    <w:rsid w:val="00D16F08"/>
    <w:rsid w:val="00D17D40"/>
    <w:rsid w:val="00D27CBF"/>
    <w:rsid w:val="00D35542"/>
    <w:rsid w:val="00D41C69"/>
    <w:rsid w:val="00D44A40"/>
    <w:rsid w:val="00D52381"/>
    <w:rsid w:val="00D54DC2"/>
    <w:rsid w:val="00D64261"/>
    <w:rsid w:val="00D80447"/>
    <w:rsid w:val="00D845F7"/>
    <w:rsid w:val="00D94A64"/>
    <w:rsid w:val="00DA3933"/>
    <w:rsid w:val="00DA4502"/>
    <w:rsid w:val="00DB047E"/>
    <w:rsid w:val="00DB10AA"/>
    <w:rsid w:val="00DB6481"/>
    <w:rsid w:val="00DB65E7"/>
    <w:rsid w:val="00DC43BD"/>
    <w:rsid w:val="00DD18E3"/>
    <w:rsid w:val="00DD654A"/>
    <w:rsid w:val="00DF1F2C"/>
    <w:rsid w:val="00E016CC"/>
    <w:rsid w:val="00E27C9B"/>
    <w:rsid w:val="00E41442"/>
    <w:rsid w:val="00E41E1F"/>
    <w:rsid w:val="00E579AD"/>
    <w:rsid w:val="00E60315"/>
    <w:rsid w:val="00E64597"/>
    <w:rsid w:val="00E76A92"/>
    <w:rsid w:val="00EA205F"/>
    <w:rsid w:val="00EA61B7"/>
    <w:rsid w:val="00EB51AD"/>
    <w:rsid w:val="00ED619F"/>
    <w:rsid w:val="00ED66F9"/>
    <w:rsid w:val="00EE145B"/>
    <w:rsid w:val="00EF2A8A"/>
    <w:rsid w:val="00F146D0"/>
    <w:rsid w:val="00F16C4F"/>
    <w:rsid w:val="00F17C13"/>
    <w:rsid w:val="00F3095B"/>
    <w:rsid w:val="00F35AC0"/>
    <w:rsid w:val="00F4007A"/>
    <w:rsid w:val="00F52577"/>
    <w:rsid w:val="00F63650"/>
    <w:rsid w:val="00F66DFF"/>
    <w:rsid w:val="00FA2153"/>
    <w:rsid w:val="00FA24A6"/>
    <w:rsid w:val="00FB0D11"/>
    <w:rsid w:val="00FB1BFE"/>
    <w:rsid w:val="00FB5064"/>
    <w:rsid w:val="00FC101B"/>
    <w:rsid w:val="00FD636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sid w:val="00190E82"/>
    <w:pPr>
      <w:spacing w:line="240" w:lineRule="exact"/>
    </w:pPr>
    <w:rPr>
      <w:rFonts w:ascii="Verdana" w:hAnsi="Verdana"/>
      <w:color w:val="000000"/>
      <w:sz w:val="18"/>
      <w:szCs w:val="18"/>
    </w:rPr>
  </w:style>
  <w:style w:type="paragraph" w:styleId="Kop1">
    <w:name w:val="heading 1"/>
    <w:basedOn w:val="Standaard"/>
    <w:next w:val="Standaard"/>
    <w:link w:val="Kop1Char"/>
    <w:uiPriority w:val="9"/>
    <w:qFormat/>
    <w:rsid w:val="0009779B"/>
    <w:pPr>
      <w:outlineLvl w:val="0"/>
    </w:pPr>
    <w:rPr>
      <w:b/>
    </w:rPr>
  </w:style>
  <w:style w:type="paragraph" w:styleId="Kop2">
    <w:name w:val="heading 2"/>
    <w:basedOn w:val="Standaard"/>
    <w:next w:val="Standaard"/>
    <w:link w:val="Kop2Char"/>
    <w:uiPriority w:val="9"/>
    <w:unhideWhenUsed/>
    <w:qFormat/>
    <w:rsid w:val="0009779B"/>
    <w:pPr>
      <w:outlineLvl w:val="1"/>
    </w:pPr>
    <w:rPr>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anhef">
    <w:name w:val="Salutation"/>
    <w:basedOn w:val="Standaard"/>
    <w:next w:val="Standaard"/>
    <w:rsid w:val="00190E82"/>
  </w:style>
  <w:style w:type="paragraph" w:customStyle="1" w:styleId="AanhefHvK">
    <w:name w:val="Aanhef HvK"/>
    <w:basedOn w:val="StandaardHvK"/>
    <w:next w:val="BodytekstHvK"/>
    <w:rsid w:val="00190E82"/>
    <w:pPr>
      <w:spacing w:after="200" w:line="220" w:lineRule="exact"/>
    </w:pPr>
  </w:style>
  <w:style w:type="paragraph" w:customStyle="1" w:styleId="Afzendgegevens">
    <w:name w:val="Afzendgegevens"/>
    <w:basedOn w:val="Standaard"/>
    <w:next w:val="Standaard"/>
    <w:rsid w:val="00190E82"/>
    <w:pPr>
      <w:tabs>
        <w:tab w:val="left" w:pos="2267"/>
      </w:tabs>
      <w:spacing w:line="180" w:lineRule="exact"/>
    </w:pPr>
    <w:rPr>
      <w:sz w:val="13"/>
      <w:szCs w:val="13"/>
    </w:rPr>
  </w:style>
  <w:style w:type="paragraph" w:customStyle="1" w:styleId="AfzendgegevensHvK">
    <w:name w:val="Afzendgegevens HvK"/>
    <w:basedOn w:val="StandaardHvK"/>
    <w:rsid w:val="00190E82"/>
    <w:pPr>
      <w:spacing w:line="240" w:lineRule="exact"/>
    </w:pPr>
    <w:rPr>
      <w:sz w:val="16"/>
      <w:szCs w:val="16"/>
    </w:rPr>
  </w:style>
  <w:style w:type="paragraph" w:customStyle="1" w:styleId="AfzendgegevensHvKmetanderhalvewitregelonder">
    <w:name w:val="Afzendgegevens HvK met anderhalve witregel onder"/>
    <w:basedOn w:val="StandaardHvK"/>
    <w:next w:val="AfzendgegevensHvK"/>
    <w:rsid w:val="00190E82"/>
    <w:pPr>
      <w:spacing w:after="240" w:line="240" w:lineRule="exact"/>
    </w:pPr>
    <w:rPr>
      <w:sz w:val="16"/>
      <w:szCs w:val="16"/>
    </w:rPr>
  </w:style>
  <w:style w:type="paragraph" w:customStyle="1" w:styleId="Algemenevoorwaarden">
    <w:name w:val="Algemene voorwaarden"/>
    <w:next w:val="Standaard"/>
    <w:rsid w:val="00190E82"/>
    <w:pPr>
      <w:spacing w:line="180" w:lineRule="exact"/>
    </w:pPr>
    <w:rPr>
      <w:rFonts w:ascii="Verdana" w:hAnsi="Verdana"/>
      <w:i/>
      <w:color w:val="000000"/>
      <w:sz w:val="13"/>
      <w:szCs w:val="13"/>
    </w:rPr>
  </w:style>
  <w:style w:type="paragraph" w:customStyle="1" w:styleId="Artikel">
    <w:name w:val="Artikel"/>
    <w:basedOn w:val="Standaard"/>
    <w:next w:val="Standaard"/>
    <w:rsid w:val="00190E82"/>
  </w:style>
  <w:style w:type="paragraph" w:customStyle="1" w:styleId="Artikelniveau2">
    <w:name w:val="Artikel niveau 2"/>
    <w:basedOn w:val="Standaard"/>
    <w:next w:val="Standaard"/>
    <w:rsid w:val="00190E82"/>
  </w:style>
  <w:style w:type="paragraph" w:customStyle="1" w:styleId="ArtikelenAutorisatiebesluit">
    <w:name w:val="Artikelen Autorisatiebesluit"/>
    <w:basedOn w:val="Standaard"/>
    <w:rsid w:val="00190E82"/>
    <w:pPr>
      <w:tabs>
        <w:tab w:val="left" w:pos="10091"/>
        <w:tab w:val="left" w:pos="10091"/>
      </w:tabs>
    </w:pPr>
  </w:style>
  <w:style w:type="paragraph" w:customStyle="1" w:styleId="Begrotingsbehandeling">
    <w:name w:val="Begrotingsbehandeling"/>
    <w:basedOn w:val="Standaard"/>
    <w:next w:val="Standaard"/>
    <w:rsid w:val="00190E82"/>
    <w:pPr>
      <w:spacing w:line="440" w:lineRule="exact"/>
    </w:pPr>
    <w:rPr>
      <w:sz w:val="44"/>
      <w:szCs w:val="44"/>
    </w:rPr>
  </w:style>
  <w:style w:type="paragraph" w:customStyle="1" w:styleId="Bezoekadres">
    <w:name w:val="Bezoekadres"/>
    <w:next w:val="Standaard"/>
    <w:rsid w:val="00190E82"/>
    <w:pPr>
      <w:spacing w:line="180" w:lineRule="exact"/>
    </w:pPr>
    <w:rPr>
      <w:rFonts w:ascii="Verdana" w:hAnsi="Verdana"/>
      <w:b/>
      <w:color w:val="000000"/>
      <w:sz w:val="13"/>
      <w:szCs w:val="13"/>
    </w:rPr>
  </w:style>
  <w:style w:type="paragraph" w:customStyle="1" w:styleId="BijlageKop">
    <w:name w:val="Bijlage_Kop"/>
    <w:basedOn w:val="Standaard"/>
    <w:next w:val="Standaard"/>
    <w:rsid w:val="00190E82"/>
    <w:pPr>
      <w:spacing w:before="180" w:after="180"/>
    </w:pPr>
  </w:style>
  <w:style w:type="paragraph" w:customStyle="1" w:styleId="BijlageLidArtikel">
    <w:name w:val="Bijlage_Lid_Artikel"/>
    <w:basedOn w:val="Standaard"/>
    <w:next w:val="Standaard"/>
    <w:rsid w:val="00190E82"/>
    <w:pPr>
      <w:ind w:left="400"/>
    </w:pPr>
  </w:style>
  <w:style w:type="paragraph" w:customStyle="1" w:styleId="BijlageLidArtikelGenummerd">
    <w:name w:val="Bijlage_Lid_Artikel_Genummerd"/>
    <w:basedOn w:val="Standaard"/>
    <w:next w:val="Standaard"/>
    <w:rsid w:val="00190E82"/>
    <w:pPr>
      <w:spacing w:line="180" w:lineRule="exact"/>
    </w:pPr>
  </w:style>
  <w:style w:type="paragraph" w:customStyle="1" w:styleId="BodytekstHvK">
    <w:name w:val="Bodytekst HvK"/>
    <w:basedOn w:val="StandaardHvK"/>
    <w:rsid w:val="00190E82"/>
    <w:pPr>
      <w:spacing w:line="220" w:lineRule="exact"/>
    </w:pPr>
  </w:style>
  <w:style w:type="paragraph" w:customStyle="1" w:styleId="Colofon">
    <w:name w:val="Colofon"/>
    <w:basedOn w:val="Standaard"/>
    <w:next w:val="Standaard"/>
    <w:rsid w:val="00190E82"/>
    <w:pPr>
      <w:spacing w:after="700" w:line="300" w:lineRule="exact"/>
    </w:pPr>
    <w:rPr>
      <w:sz w:val="24"/>
      <w:szCs w:val="24"/>
    </w:rPr>
  </w:style>
  <w:style w:type="paragraph" w:customStyle="1" w:styleId="ConvenantArtikel">
    <w:name w:val="Convenant Artikel"/>
    <w:basedOn w:val="Standaard"/>
    <w:next w:val="Standaard"/>
    <w:rsid w:val="00190E82"/>
    <w:pPr>
      <w:numPr>
        <w:numId w:val="8"/>
      </w:numPr>
      <w:spacing w:before="200" w:after="200"/>
    </w:pPr>
    <w:rPr>
      <w:b/>
      <w:sz w:val="20"/>
      <w:szCs w:val="20"/>
    </w:rPr>
  </w:style>
  <w:style w:type="paragraph" w:customStyle="1" w:styleId="ConvenantletteringArtikel">
    <w:name w:val="Convenant lettering Artikel"/>
    <w:basedOn w:val="Standaard"/>
    <w:next w:val="Standaard"/>
    <w:rsid w:val="00190E82"/>
  </w:style>
  <w:style w:type="paragraph" w:customStyle="1" w:styleId="Convenantletteringinspring">
    <w:name w:val="Convenant lettering inspring"/>
    <w:basedOn w:val="Standaard"/>
    <w:next w:val="Standaard"/>
    <w:rsid w:val="00190E82"/>
    <w:rPr>
      <w:sz w:val="20"/>
      <w:szCs w:val="20"/>
    </w:rPr>
  </w:style>
  <w:style w:type="paragraph" w:customStyle="1" w:styleId="ConvenantLid">
    <w:name w:val="Convenant Lid"/>
    <w:basedOn w:val="Standaard"/>
    <w:next w:val="Standaard"/>
    <w:rsid w:val="00190E82"/>
    <w:pPr>
      <w:numPr>
        <w:ilvl w:val="1"/>
        <w:numId w:val="8"/>
      </w:numPr>
    </w:pPr>
    <w:rPr>
      <w:sz w:val="20"/>
      <w:szCs w:val="20"/>
    </w:rPr>
  </w:style>
  <w:style w:type="paragraph" w:customStyle="1" w:styleId="Convenantlidletterstijlinspring">
    <w:name w:val="Convenant lid (letterstijl inspring)"/>
    <w:basedOn w:val="Standaard"/>
    <w:next w:val="Standaard"/>
    <w:rsid w:val="00190E82"/>
    <w:pPr>
      <w:numPr>
        <w:numId w:val="7"/>
      </w:numPr>
    </w:pPr>
    <w:rPr>
      <w:sz w:val="20"/>
      <w:szCs w:val="20"/>
    </w:rPr>
  </w:style>
  <w:style w:type="paragraph" w:customStyle="1" w:styleId="ConvenantLidletterstijl">
    <w:name w:val="Convenant Lid (letterstijl)"/>
    <w:basedOn w:val="Standaard"/>
    <w:next w:val="Standaard"/>
    <w:rsid w:val="00190E82"/>
    <w:pPr>
      <w:numPr>
        <w:numId w:val="6"/>
      </w:numPr>
    </w:pPr>
    <w:rPr>
      <w:sz w:val="20"/>
      <w:szCs w:val="20"/>
    </w:rPr>
  </w:style>
  <w:style w:type="paragraph" w:customStyle="1" w:styleId="ConvenantnummeringArtikel">
    <w:name w:val="Convenant nummering Artikel"/>
    <w:basedOn w:val="Standaard"/>
    <w:next w:val="Standaard"/>
    <w:rsid w:val="00190E82"/>
  </w:style>
  <w:style w:type="paragraph" w:customStyle="1" w:styleId="Convenantstandaard">
    <w:name w:val="Convenant standaard"/>
    <w:basedOn w:val="Standaard"/>
    <w:next w:val="Standaard"/>
    <w:rsid w:val="00190E82"/>
    <w:rPr>
      <w:sz w:val="20"/>
      <w:szCs w:val="20"/>
    </w:rPr>
  </w:style>
  <w:style w:type="paragraph" w:customStyle="1" w:styleId="ConvenantTitel">
    <w:name w:val="Convenant Titel"/>
    <w:next w:val="Standaard"/>
    <w:rsid w:val="00190E82"/>
    <w:pPr>
      <w:spacing w:after="360" w:line="200" w:lineRule="exact"/>
      <w:jc w:val="center"/>
    </w:pPr>
    <w:rPr>
      <w:rFonts w:ascii="Verdana" w:hAnsi="Verdana"/>
      <w:b/>
      <w:color w:val="000000"/>
    </w:rPr>
  </w:style>
  <w:style w:type="paragraph" w:customStyle="1" w:styleId="DatumregelHvK">
    <w:name w:val="Datumregel HvK"/>
    <w:basedOn w:val="StandaardHvK"/>
    <w:rsid w:val="00190E82"/>
    <w:pPr>
      <w:spacing w:line="200" w:lineRule="exact"/>
      <w:ind w:left="6236"/>
    </w:pPr>
  </w:style>
  <w:style w:type="paragraph" w:customStyle="1" w:styleId="DocumentsoortHvK">
    <w:name w:val="Documentsoort HvK"/>
    <w:basedOn w:val="StandaardHvK"/>
    <w:next w:val="StandaardHvK"/>
    <w:rsid w:val="00190E82"/>
    <w:pPr>
      <w:spacing w:after="400" w:line="400" w:lineRule="exact"/>
    </w:pPr>
    <w:rPr>
      <w:b/>
      <w:sz w:val="40"/>
      <w:szCs w:val="40"/>
    </w:rPr>
  </w:style>
  <w:style w:type="paragraph" w:customStyle="1" w:styleId="EindrapportKop">
    <w:name w:val="Eindrapport_Kop"/>
    <w:basedOn w:val="Standaard"/>
    <w:next w:val="Standaard"/>
    <w:rsid w:val="00190E82"/>
    <w:pPr>
      <w:spacing w:after="700" w:line="300" w:lineRule="exact"/>
    </w:pPr>
    <w:rPr>
      <w:sz w:val="24"/>
      <w:szCs w:val="24"/>
    </w:rPr>
  </w:style>
  <w:style w:type="paragraph" w:customStyle="1" w:styleId="Embargo">
    <w:name w:val="Embargo"/>
    <w:next w:val="Standaard"/>
    <w:rsid w:val="00190E82"/>
    <w:pPr>
      <w:spacing w:line="130" w:lineRule="exact"/>
    </w:pPr>
    <w:rPr>
      <w:rFonts w:ascii="Verdana" w:hAnsi="Verdana"/>
      <w:b/>
      <w:smallCaps/>
      <w:color w:val="000000"/>
      <w:sz w:val="13"/>
      <w:szCs w:val="13"/>
    </w:rPr>
  </w:style>
  <w:style w:type="paragraph" w:customStyle="1" w:styleId="FMHDechargeverklaring">
    <w:name w:val="FMH_Dechargeverklaring"/>
    <w:basedOn w:val="Standaard"/>
    <w:next w:val="Standaard"/>
    <w:rsid w:val="00190E82"/>
    <w:rPr>
      <w:sz w:val="15"/>
      <w:szCs w:val="15"/>
    </w:rPr>
  </w:style>
  <w:style w:type="paragraph" w:customStyle="1" w:styleId="FMHDechargeverklaringKop">
    <w:name w:val="FMH_Dechargeverklaring_Kop"/>
    <w:basedOn w:val="Standaard"/>
    <w:next w:val="Standaard"/>
    <w:rsid w:val="00190E82"/>
    <w:rPr>
      <w:b/>
      <w:smallCaps/>
    </w:rPr>
  </w:style>
  <w:style w:type="paragraph" w:customStyle="1" w:styleId="FMHDechargeverklaringOndertekening">
    <w:name w:val="FMH_Dechargeverklaring_Ondertekening"/>
    <w:rsid w:val="00190E82"/>
    <w:pPr>
      <w:tabs>
        <w:tab w:val="left" w:pos="4183"/>
      </w:tabs>
      <w:spacing w:line="240" w:lineRule="exact"/>
    </w:pPr>
    <w:rPr>
      <w:rFonts w:ascii="Verdana" w:hAnsi="Verdana"/>
      <w:color w:val="000000"/>
      <w:sz w:val="16"/>
      <w:szCs w:val="16"/>
    </w:rPr>
  </w:style>
  <w:style w:type="paragraph" w:customStyle="1" w:styleId="Fmhinstructietekst">
    <w:name w:val="Fmh_instructietekst"/>
    <w:next w:val="Standaard"/>
    <w:rsid w:val="00190E82"/>
    <w:pPr>
      <w:spacing w:line="240" w:lineRule="exact"/>
    </w:pPr>
    <w:rPr>
      <w:rFonts w:ascii="Arial Narrow" w:hAnsi="Arial Narrow"/>
      <w:color w:val="000000"/>
      <w:sz w:val="15"/>
      <w:szCs w:val="15"/>
    </w:rPr>
  </w:style>
  <w:style w:type="paragraph" w:customStyle="1" w:styleId="FmhKopjeprojectgegevens">
    <w:name w:val="Fmh_Kopje_(project)gegevens"/>
    <w:next w:val="Standaard"/>
    <w:rsid w:val="00190E82"/>
    <w:pPr>
      <w:spacing w:line="240" w:lineRule="exact"/>
    </w:pPr>
    <w:rPr>
      <w:rFonts w:ascii="Verdana" w:hAnsi="Verdana"/>
      <w:b/>
      <w:color w:val="000000"/>
      <w:sz w:val="15"/>
      <w:szCs w:val="15"/>
    </w:rPr>
  </w:style>
  <w:style w:type="paragraph" w:customStyle="1" w:styleId="FmhKopjekapitalen">
    <w:name w:val="Fmh_Kopje_kapitalen"/>
    <w:next w:val="Standaard"/>
    <w:rsid w:val="00190E82"/>
    <w:pPr>
      <w:spacing w:line="240" w:lineRule="exact"/>
    </w:pPr>
    <w:rPr>
      <w:rFonts w:ascii="Verdana" w:hAnsi="Verdana"/>
      <w:b/>
      <w:caps/>
      <w:color w:val="000000"/>
      <w:sz w:val="18"/>
      <w:szCs w:val="18"/>
    </w:rPr>
  </w:style>
  <w:style w:type="paragraph" w:customStyle="1" w:styleId="FmhProcesVerbaalGegevens">
    <w:name w:val="Fmh_Proces_Verbaal_Gegevens"/>
    <w:basedOn w:val="Standaard"/>
    <w:next w:val="Standaard"/>
    <w:rsid w:val="00190E82"/>
    <w:pPr>
      <w:tabs>
        <w:tab w:val="left" w:pos="2437"/>
      </w:tabs>
    </w:pPr>
  </w:style>
  <w:style w:type="paragraph" w:customStyle="1" w:styleId="FmhProcesVerbaalOndertekening">
    <w:name w:val="Fmh_Proces_Verbaal_Ondertekening"/>
    <w:basedOn w:val="Standaard"/>
    <w:next w:val="Standaard"/>
    <w:rsid w:val="00190E82"/>
    <w:pPr>
      <w:tabs>
        <w:tab w:val="left" w:pos="2834"/>
        <w:tab w:val="left" w:pos="2834"/>
        <w:tab w:val="left" w:pos="2834"/>
      </w:tabs>
    </w:pPr>
  </w:style>
  <w:style w:type="paragraph" w:customStyle="1" w:styleId="FmhProcesVerbaalProjectgegevens">
    <w:name w:val="Fmh_Proces_Verbaal_Projectgegevens"/>
    <w:next w:val="Standaard"/>
    <w:rsid w:val="00190E82"/>
    <w:pPr>
      <w:tabs>
        <w:tab w:val="left" w:pos="2965"/>
      </w:tabs>
      <w:spacing w:line="240" w:lineRule="exact"/>
    </w:pPr>
    <w:rPr>
      <w:rFonts w:ascii="Verdana" w:hAnsi="Verdana"/>
      <w:color w:val="000000"/>
      <w:sz w:val="18"/>
      <w:szCs w:val="18"/>
    </w:rPr>
  </w:style>
  <w:style w:type="table" w:customStyle="1" w:styleId="FMHTabelDechargeverklaring">
    <w:name w:val="FMH_Tabel_Dechargeverklaring"/>
    <w:rsid w:val="00190E82"/>
    <w:rPr>
      <w:rFonts w:ascii="Verdana" w:hAnsi="Verdana"/>
      <w:color w:val="000000"/>
      <w:sz w:val="16"/>
      <w:szCs w:val="16"/>
    </w:rPr>
    <w:tblPr>
      <w:tblCellMar>
        <w:top w:w="0" w:type="dxa"/>
        <w:left w:w="0" w:type="dxa"/>
        <w:bottom w:w="0" w:type="dxa"/>
        <w:right w:w="0" w:type="dxa"/>
      </w:tblCellMar>
    </w:tblPr>
    <w:tcPr>
      <w:shd w:val="clear" w:color="auto" w:fill="auto"/>
    </w:tcPr>
  </w:style>
  <w:style w:type="paragraph" w:customStyle="1" w:styleId="Fmhtussenkop">
    <w:name w:val="Fmh_tussenkop"/>
    <w:next w:val="Standaard"/>
    <w:rsid w:val="00190E82"/>
    <w:pPr>
      <w:spacing w:line="240" w:lineRule="exact"/>
    </w:pPr>
    <w:rPr>
      <w:rFonts w:ascii="Verdana" w:hAnsi="Verdana"/>
      <w:b/>
      <w:color w:val="000000"/>
      <w:sz w:val="15"/>
      <w:szCs w:val="15"/>
    </w:rPr>
  </w:style>
  <w:style w:type="paragraph" w:customStyle="1" w:styleId="GeadresseerdenNotitieHvK">
    <w:name w:val="Geadresseerden Notitie HvK"/>
    <w:basedOn w:val="AfzendgegevensHvK"/>
    <w:rsid w:val="00190E82"/>
    <w:pPr>
      <w:spacing w:before="320"/>
    </w:pPr>
  </w:style>
  <w:style w:type="paragraph" w:customStyle="1" w:styleId="Gegevensdocument">
    <w:name w:val="Gegevens document"/>
    <w:next w:val="Standaard"/>
    <w:rsid w:val="00190E82"/>
    <w:pPr>
      <w:tabs>
        <w:tab w:val="left" w:pos="1133"/>
      </w:tabs>
      <w:spacing w:line="240" w:lineRule="exact"/>
    </w:pPr>
    <w:rPr>
      <w:rFonts w:ascii="Verdana" w:hAnsi="Verdana"/>
      <w:color w:val="000000"/>
      <w:sz w:val="18"/>
      <w:szCs w:val="18"/>
    </w:rPr>
  </w:style>
  <w:style w:type="paragraph" w:customStyle="1" w:styleId="GroetregelHvK">
    <w:name w:val="Groetregel HvK"/>
    <w:basedOn w:val="StandaardHvK"/>
    <w:next w:val="StandaardHvK"/>
    <w:rsid w:val="00190E82"/>
    <w:pPr>
      <w:spacing w:before="220" w:line="220" w:lineRule="exact"/>
    </w:pPr>
  </w:style>
  <w:style w:type="paragraph" w:customStyle="1" w:styleId="Hoofdstuk">
    <w:name w:val="Hoofdstuk"/>
    <w:basedOn w:val="Standaard"/>
    <w:next w:val="Standaard"/>
    <w:rsid w:val="00190E82"/>
    <w:pPr>
      <w:numPr>
        <w:numId w:val="15"/>
      </w:numPr>
      <w:spacing w:after="700" w:line="300" w:lineRule="exact"/>
    </w:pPr>
    <w:rPr>
      <w:sz w:val="24"/>
      <w:szCs w:val="24"/>
    </w:rPr>
  </w:style>
  <w:style w:type="paragraph" w:customStyle="1" w:styleId="Hoofdstukzondernummering">
    <w:name w:val="Hoofdstuk zonder nummering"/>
    <w:basedOn w:val="Standaard"/>
    <w:next w:val="Standaard"/>
    <w:rsid w:val="00190E82"/>
    <w:pPr>
      <w:spacing w:after="700" w:line="300" w:lineRule="exact"/>
    </w:pPr>
    <w:rPr>
      <w:sz w:val="24"/>
      <w:szCs w:val="24"/>
    </w:rPr>
  </w:style>
  <w:style w:type="paragraph" w:styleId="Inhopg1">
    <w:name w:val="toc 1"/>
    <w:basedOn w:val="Standaard"/>
    <w:next w:val="Standaard"/>
    <w:rsid w:val="00190E82"/>
    <w:pPr>
      <w:spacing w:before="240" w:after="120"/>
    </w:pPr>
    <w:rPr>
      <w:b/>
      <w:sz w:val="20"/>
      <w:szCs w:val="20"/>
    </w:rPr>
  </w:style>
  <w:style w:type="paragraph" w:styleId="Inhopg2">
    <w:name w:val="toc 2"/>
    <w:basedOn w:val="Inhopg1"/>
    <w:next w:val="Standaard"/>
    <w:rsid w:val="00190E82"/>
    <w:pPr>
      <w:spacing w:before="120" w:after="0"/>
      <w:ind w:left="180"/>
    </w:pPr>
    <w:rPr>
      <w:b w:val="0"/>
      <w:i/>
    </w:rPr>
  </w:style>
  <w:style w:type="paragraph" w:styleId="Inhopg3">
    <w:name w:val="toc 3"/>
    <w:basedOn w:val="Inhopg2"/>
    <w:next w:val="Standaard"/>
    <w:rsid w:val="00190E82"/>
    <w:pPr>
      <w:spacing w:before="0"/>
      <w:ind w:left="360"/>
    </w:pPr>
    <w:rPr>
      <w:i w:val="0"/>
    </w:rPr>
  </w:style>
  <w:style w:type="paragraph" w:styleId="Inhopg4">
    <w:name w:val="toc 4"/>
    <w:basedOn w:val="Inhopg3"/>
    <w:next w:val="Standaard"/>
    <w:rsid w:val="00190E82"/>
  </w:style>
  <w:style w:type="paragraph" w:styleId="Inhopg5">
    <w:name w:val="toc 5"/>
    <w:basedOn w:val="Inhopg4"/>
    <w:next w:val="Standaard"/>
    <w:rsid w:val="00190E82"/>
  </w:style>
  <w:style w:type="paragraph" w:styleId="Inhopg6">
    <w:name w:val="toc 6"/>
    <w:basedOn w:val="Inhopg5"/>
    <w:next w:val="Standaard"/>
    <w:rsid w:val="00190E82"/>
  </w:style>
  <w:style w:type="paragraph" w:styleId="Inhopg7">
    <w:name w:val="toc 7"/>
    <w:basedOn w:val="Inhopg6"/>
    <w:next w:val="Standaard"/>
    <w:rsid w:val="00190E82"/>
  </w:style>
  <w:style w:type="paragraph" w:styleId="Inhopg8">
    <w:name w:val="toc 8"/>
    <w:basedOn w:val="Inhopg7"/>
    <w:next w:val="Standaard"/>
    <w:rsid w:val="00190E82"/>
  </w:style>
  <w:style w:type="paragraph" w:styleId="Inhopg9">
    <w:name w:val="toc 9"/>
    <w:basedOn w:val="Inhopg8"/>
    <w:next w:val="Standaard"/>
    <w:rsid w:val="00190E82"/>
  </w:style>
  <w:style w:type="paragraph" w:customStyle="1" w:styleId="Kiesraadaanhef">
    <w:name w:val="Kiesraad_aanhef"/>
    <w:rsid w:val="00190E82"/>
    <w:pPr>
      <w:spacing w:before="100" w:after="240" w:line="240" w:lineRule="exact"/>
    </w:pPr>
    <w:rPr>
      <w:rFonts w:ascii="Arial" w:hAnsi="Arial"/>
      <w:color w:val="000000"/>
    </w:rPr>
  </w:style>
  <w:style w:type="paragraph" w:customStyle="1" w:styleId="Kiesraadafzendgegevens">
    <w:name w:val="Kiesraad_afzendgegevens"/>
    <w:next w:val="Standaard"/>
    <w:rsid w:val="00190E82"/>
    <w:pPr>
      <w:spacing w:line="220" w:lineRule="exact"/>
    </w:pPr>
    <w:rPr>
      <w:rFonts w:ascii="Arial" w:hAnsi="Arial"/>
      <w:color w:val="000000"/>
      <w:sz w:val="16"/>
      <w:szCs w:val="16"/>
    </w:rPr>
  </w:style>
  <w:style w:type="paragraph" w:customStyle="1" w:styleId="Kiesraadafzendgegevensbold">
    <w:name w:val="Kiesraad_afzendgegevens_bold"/>
    <w:next w:val="Standaard"/>
    <w:rsid w:val="00190E82"/>
    <w:pPr>
      <w:spacing w:line="220" w:lineRule="exact"/>
    </w:pPr>
    <w:rPr>
      <w:rFonts w:ascii="Arial" w:hAnsi="Arial"/>
      <w:b/>
      <w:color w:val="000000"/>
      <w:sz w:val="16"/>
      <w:szCs w:val="16"/>
    </w:rPr>
  </w:style>
  <w:style w:type="paragraph" w:customStyle="1" w:styleId="Kiesraadfax">
    <w:name w:val="Kiesraad_fax"/>
    <w:basedOn w:val="Standaard"/>
    <w:next w:val="Standaard"/>
    <w:rsid w:val="00190E82"/>
    <w:rPr>
      <w:rFonts w:ascii="Arial" w:hAnsi="Arial"/>
      <w:sz w:val="14"/>
      <w:szCs w:val="14"/>
    </w:rPr>
  </w:style>
  <w:style w:type="paragraph" w:customStyle="1" w:styleId="KiesraadNotitieKop">
    <w:name w:val="Kiesraad_Notitie_Kop"/>
    <w:rsid w:val="00190E82"/>
    <w:pPr>
      <w:spacing w:line="240" w:lineRule="exact"/>
    </w:pPr>
    <w:rPr>
      <w:rFonts w:ascii="Arial" w:hAnsi="Arial"/>
      <w:b/>
      <w:color w:val="000000"/>
      <w:sz w:val="24"/>
      <w:szCs w:val="24"/>
    </w:rPr>
  </w:style>
  <w:style w:type="paragraph" w:customStyle="1" w:styleId="Kiesraadonderdeel">
    <w:name w:val="Kiesraad_onderdeel"/>
    <w:rsid w:val="00190E82"/>
    <w:pPr>
      <w:spacing w:line="180" w:lineRule="exact"/>
    </w:pPr>
    <w:rPr>
      <w:rFonts w:ascii="Arial" w:hAnsi="Arial"/>
      <w:b/>
      <w:smallCaps/>
      <w:color w:val="000000"/>
      <w:sz w:val="16"/>
      <w:szCs w:val="16"/>
    </w:rPr>
  </w:style>
  <w:style w:type="paragraph" w:customStyle="1" w:styleId="Kiesraadonderwerp">
    <w:name w:val="Kiesraad_onderwerp"/>
    <w:rsid w:val="00190E82"/>
    <w:pPr>
      <w:spacing w:line="240" w:lineRule="exact"/>
    </w:pPr>
    <w:rPr>
      <w:rFonts w:ascii="Arial" w:hAnsi="Arial"/>
      <w:b/>
      <w:color w:val="000000"/>
    </w:rPr>
  </w:style>
  <w:style w:type="paragraph" w:customStyle="1" w:styleId="Kiesraadonderwerpkop">
    <w:name w:val="Kiesraad_onderwerp_kop"/>
    <w:rsid w:val="00190E82"/>
    <w:pPr>
      <w:spacing w:line="240" w:lineRule="exact"/>
    </w:pPr>
    <w:rPr>
      <w:rFonts w:ascii="Arial" w:hAnsi="Arial"/>
      <w:b/>
      <w:color w:val="000000"/>
      <w:sz w:val="14"/>
      <w:szCs w:val="14"/>
    </w:rPr>
  </w:style>
  <w:style w:type="paragraph" w:customStyle="1" w:styleId="Kiesraadreferentiegegevens">
    <w:name w:val="Kiesraad_referentiegegevens"/>
    <w:rsid w:val="00190E82"/>
    <w:pPr>
      <w:spacing w:line="220" w:lineRule="exact"/>
    </w:pPr>
    <w:rPr>
      <w:rFonts w:ascii="Arial" w:hAnsi="Arial"/>
      <w:color w:val="000000"/>
      <w:sz w:val="16"/>
      <w:szCs w:val="16"/>
    </w:rPr>
  </w:style>
  <w:style w:type="paragraph" w:customStyle="1" w:styleId="Kiesraadreferentiegegevensbold">
    <w:name w:val="Kiesraad_referentiegegevens_bold"/>
    <w:rsid w:val="00190E82"/>
    <w:pPr>
      <w:spacing w:line="220" w:lineRule="exact"/>
    </w:pPr>
    <w:rPr>
      <w:rFonts w:ascii="Arial" w:hAnsi="Arial"/>
      <w:b/>
      <w:color w:val="000000"/>
      <w:sz w:val="16"/>
      <w:szCs w:val="16"/>
    </w:rPr>
  </w:style>
  <w:style w:type="paragraph" w:customStyle="1" w:styleId="Kiesraadslotzin">
    <w:name w:val="Kiesraad_slotzin"/>
    <w:next w:val="Standaard"/>
    <w:rsid w:val="00190E82"/>
    <w:pPr>
      <w:spacing w:before="240" w:line="240" w:lineRule="exact"/>
    </w:pPr>
    <w:rPr>
      <w:rFonts w:ascii="Arial" w:hAnsi="Arial"/>
      <w:color w:val="000000"/>
    </w:rPr>
  </w:style>
  <w:style w:type="paragraph" w:customStyle="1" w:styleId="Kiesraadstandaard">
    <w:name w:val="Kiesraad_standaard"/>
    <w:rsid w:val="00190E82"/>
    <w:pPr>
      <w:spacing w:line="240" w:lineRule="exact"/>
    </w:pPr>
    <w:rPr>
      <w:rFonts w:ascii="Arial" w:hAnsi="Arial"/>
      <w:color w:val="000000"/>
    </w:rPr>
  </w:style>
  <w:style w:type="paragraph" w:customStyle="1" w:styleId="KiesraadWitregelW1">
    <w:name w:val="Kiesraad_Witregel_W1"/>
    <w:next w:val="Standaard"/>
    <w:rsid w:val="00190E82"/>
    <w:pPr>
      <w:spacing w:line="220" w:lineRule="exact"/>
    </w:pPr>
    <w:rPr>
      <w:rFonts w:ascii="Arial" w:hAnsi="Arial"/>
      <w:color w:val="000000"/>
      <w:sz w:val="16"/>
      <w:szCs w:val="16"/>
    </w:rPr>
  </w:style>
  <w:style w:type="paragraph" w:customStyle="1" w:styleId="KopDocumentgegevens">
    <w:name w:val="Kop Documentgegevens"/>
    <w:next w:val="Standaard"/>
    <w:rsid w:val="00190E82"/>
    <w:pPr>
      <w:spacing w:line="240" w:lineRule="exact"/>
    </w:pPr>
    <w:rPr>
      <w:rFonts w:ascii="Verdana" w:hAnsi="Verdana"/>
      <w:color w:val="000000"/>
      <w:sz w:val="13"/>
      <w:szCs w:val="13"/>
    </w:rPr>
  </w:style>
  <w:style w:type="paragraph" w:customStyle="1" w:styleId="KopgegevensAgenda">
    <w:name w:val="Kop gegevens Agenda"/>
    <w:basedOn w:val="KopDocumentgegevens"/>
    <w:next w:val="Standaard"/>
    <w:rsid w:val="00190E82"/>
    <w:pPr>
      <w:tabs>
        <w:tab w:val="left" w:pos="2267"/>
      </w:tabs>
    </w:pPr>
  </w:style>
  <w:style w:type="paragraph" w:customStyle="1" w:styleId="KopNotitiegegevens">
    <w:name w:val="Kop Notitie gegevens"/>
    <w:basedOn w:val="KopDocumentgegevens"/>
    <w:next w:val="Standaard"/>
    <w:rsid w:val="00190E82"/>
    <w:pPr>
      <w:spacing w:before="80" w:after="160"/>
    </w:pPr>
  </w:style>
  <w:style w:type="paragraph" w:customStyle="1" w:styleId="KopBesluitRVIGAutorisatiebesluitExperian">
    <w:name w:val="Kop_Besluit_RVIG_Autorisatiebesluit_Experian"/>
    <w:basedOn w:val="Standaard"/>
    <w:next w:val="Standaard"/>
    <w:rsid w:val="00190E82"/>
    <w:rPr>
      <w:b/>
      <w:sz w:val="22"/>
      <w:szCs w:val="22"/>
    </w:rPr>
  </w:style>
  <w:style w:type="paragraph" w:customStyle="1" w:styleId="KopContractuitbreiding">
    <w:name w:val="Kop_Contractuitbreiding"/>
    <w:basedOn w:val="Standaard"/>
    <w:next w:val="Standaard"/>
    <w:rsid w:val="00190E82"/>
    <w:pPr>
      <w:spacing w:line="480" w:lineRule="exact"/>
    </w:pPr>
    <w:rPr>
      <w:sz w:val="48"/>
      <w:szCs w:val="48"/>
    </w:rPr>
  </w:style>
  <w:style w:type="paragraph" w:customStyle="1" w:styleId="KopProcesVerbaalvanOplevering">
    <w:name w:val="Kop_Proces_Verbaal_van_Oplevering"/>
    <w:basedOn w:val="Standaard"/>
    <w:next w:val="Standaard"/>
    <w:rsid w:val="00190E82"/>
    <w:pPr>
      <w:spacing w:after="720"/>
    </w:pPr>
    <w:rPr>
      <w:b/>
    </w:rPr>
  </w:style>
  <w:style w:type="paragraph" w:customStyle="1" w:styleId="Kopjeafzendgegevens">
    <w:name w:val="Kopje afzendgegevens"/>
    <w:basedOn w:val="Afzendgegevens"/>
    <w:next w:val="Standaard"/>
    <w:rsid w:val="00190E82"/>
    <w:rPr>
      <w:b/>
    </w:rPr>
  </w:style>
  <w:style w:type="paragraph" w:customStyle="1" w:styleId="Kopjegegevensdocument">
    <w:name w:val="Kopje gegevens document"/>
    <w:basedOn w:val="Gegevensdocument"/>
    <w:next w:val="Standaard"/>
    <w:rsid w:val="00190E82"/>
    <w:rPr>
      <w:sz w:val="13"/>
      <w:szCs w:val="13"/>
    </w:rPr>
  </w:style>
  <w:style w:type="paragraph" w:customStyle="1" w:styleId="KopjeNota">
    <w:name w:val="Kopje Nota"/>
    <w:next w:val="Standaard"/>
    <w:rsid w:val="00190E82"/>
    <w:pPr>
      <w:spacing w:line="240" w:lineRule="exact"/>
    </w:pPr>
    <w:rPr>
      <w:rFonts w:ascii="Verdana" w:hAnsi="Verdana"/>
      <w:color w:val="000000"/>
      <w:sz w:val="13"/>
      <w:szCs w:val="13"/>
    </w:rPr>
  </w:style>
  <w:style w:type="paragraph" w:customStyle="1" w:styleId="Kopjereferentiegegevens">
    <w:name w:val="Kopje referentiegegevens"/>
    <w:basedOn w:val="Referentiegegevens"/>
    <w:next w:val="Standaard"/>
    <w:rsid w:val="00190E82"/>
    <w:rPr>
      <w:b/>
    </w:rPr>
  </w:style>
  <w:style w:type="paragraph" w:customStyle="1" w:styleId="LedenArt1">
    <w:name w:val="Leden_Art_1"/>
    <w:basedOn w:val="Standaard"/>
    <w:next w:val="Standaard"/>
    <w:rsid w:val="00190E82"/>
    <w:pPr>
      <w:numPr>
        <w:numId w:val="23"/>
      </w:numPr>
    </w:pPr>
  </w:style>
  <w:style w:type="paragraph" w:customStyle="1" w:styleId="LedenArt1niv2">
    <w:name w:val="Leden_Art_1_niv2"/>
    <w:basedOn w:val="Standaard"/>
    <w:next w:val="Standaard"/>
    <w:rsid w:val="00190E82"/>
    <w:pPr>
      <w:numPr>
        <w:ilvl w:val="1"/>
        <w:numId w:val="23"/>
      </w:numPr>
    </w:pPr>
  </w:style>
  <w:style w:type="paragraph" w:customStyle="1" w:styleId="LedenArt10">
    <w:name w:val="Leden_Art_10"/>
    <w:basedOn w:val="Standaard"/>
    <w:next w:val="Standaard"/>
    <w:rsid w:val="00190E82"/>
    <w:pPr>
      <w:numPr>
        <w:numId w:val="24"/>
      </w:numPr>
    </w:pPr>
  </w:style>
  <w:style w:type="paragraph" w:customStyle="1" w:styleId="LedenArt10niv2">
    <w:name w:val="Leden_Art_10_niv2"/>
    <w:basedOn w:val="Standaard"/>
    <w:next w:val="Standaard"/>
    <w:rsid w:val="00190E82"/>
    <w:pPr>
      <w:numPr>
        <w:ilvl w:val="1"/>
        <w:numId w:val="24"/>
      </w:numPr>
    </w:pPr>
  </w:style>
  <w:style w:type="paragraph" w:customStyle="1" w:styleId="LedenArt11">
    <w:name w:val="Leden_Art_11"/>
    <w:basedOn w:val="Standaard"/>
    <w:next w:val="Standaard"/>
    <w:rsid w:val="00190E82"/>
    <w:pPr>
      <w:numPr>
        <w:numId w:val="25"/>
      </w:numPr>
    </w:pPr>
  </w:style>
  <w:style w:type="paragraph" w:customStyle="1" w:styleId="LedenArt3">
    <w:name w:val="Leden_Art_3"/>
    <w:basedOn w:val="Standaard"/>
    <w:next w:val="Standaard"/>
    <w:rsid w:val="00190E82"/>
    <w:pPr>
      <w:numPr>
        <w:numId w:val="26"/>
      </w:numPr>
    </w:pPr>
  </w:style>
  <w:style w:type="paragraph" w:customStyle="1" w:styleId="LedenArt6">
    <w:name w:val="Leden_Art_6"/>
    <w:basedOn w:val="Standaard"/>
    <w:next w:val="Standaard"/>
    <w:rsid w:val="00190E82"/>
    <w:pPr>
      <w:numPr>
        <w:numId w:val="27"/>
      </w:numPr>
    </w:pPr>
  </w:style>
  <w:style w:type="paragraph" w:customStyle="1" w:styleId="LedenArt6niv2">
    <w:name w:val="Leden_Art_6_niv2"/>
    <w:basedOn w:val="Standaard"/>
    <w:next w:val="Standaard"/>
    <w:rsid w:val="00190E82"/>
    <w:pPr>
      <w:numPr>
        <w:ilvl w:val="1"/>
        <w:numId w:val="27"/>
      </w:numPr>
    </w:pPr>
  </w:style>
  <w:style w:type="paragraph" w:customStyle="1" w:styleId="LedenArt7">
    <w:name w:val="Leden_Art_7"/>
    <w:basedOn w:val="Standaard"/>
    <w:next w:val="Standaard"/>
    <w:rsid w:val="00190E82"/>
    <w:pPr>
      <w:numPr>
        <w:numId w:val="28"/>
      </w:numPr>
    </w:pPr>
  </w:style>
  <w:style w:type="paragraph" w:customStyle="1" w:styleId="LedenArt7niv2">
    <w:name w:val="Leden_Art_7_niv2"/>
    <w:basedOn w:val="Standaard"/>
    <w:next w:val="Standaard"/>
    <w:rsid w:val="00190E82"/>
    <w:pPr>
      <w:numPr>
        <w:ilvl w:val="1"/>
        <w:numId w:val="28"/>
      </w:numPr>
    </w:pPr>
  </w:style>
  <w:style w:type="table" w:customStyle="1" w:styleId="Logius-CelrechtsonderGrijs">
    <w:name w:val="Logius - Cel rechtsonder Grijs"/>
    <w:rsid w:val="00190E82"/>
    <w:rPr>
      <w:rFonts w:ascii="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paragraph" w:customStyle="1" w:styleId="LogiusArtikelniveau1">
    <w:name w:val="Logius Artikel (niveau 1)"/>
    <w:next w:val="Standaard"/>
    <w:rsid w:val="00190E82"/>
    <w:pPr>
      <w:numPr>
        <w:numId w:val="1"/>
      </w:numPr>
      <w:spacing w:before="240" w:after="240" w:line="240" w:lineRule="exact"/>
    </w:pPr>
    <w:rPr>
      <w:rFonts w:ascii="Verdana" w:hAnsi="Verdana"/>
      <w:b/>
      <w:color w:val="000000"/>
      <w:sz w:val="16"/>
      <w:szCs w:val="16"/>
    </w:rPr>
  </w:style>
  <w:style w:type="paragraph" w:customStyle="1" w:styleId="LogiusArtikelniveau2">
    <w:name w:val="Logius Artikel (niveau 2)"/>
    <w:next w:val="Standaard"/>
    <w:rsid w:val="00190E82"/>
    <w:pPr>
      <w:numPr>
        <w:ilvl w:val="1"/>
        <w:numId w:val="2"/>
      </w:numPr>
      <w:spacing w:before="240" w:after="240" w:line="240" w:lineRule="exact"/>
    </w:pPr>
    <w:rPr>
      <w:rFonts w:ascii="Verdana" w:hAnsi="Verdana"/>
      <w:color w:val="000000"/>
      <w:sz w:val="16"/>
      <w:szCs w:val="16"/>
    </w:rPr>
  </w:style>
  <w:style w:type="paragraph" w:customStyle="1" w:styleId="LogiusBehoeftestellingBullet">
    <w:name w:val="Logius Behoeftestelling Bullet"/>
    <w:basedOn w:val="Standaard"/>
    <w:next w:val="Standaard"/>
    <w:rsid w:val="00190E82"/>
  </w:style>
  <w:style w:type="paragraph" w:customStyle="1" w:styleId="LogiusBullets">
    <w:name w:val="Logius Bullets"/>
    <w:basedOn w:val="Standaard"/>
    <w:next w:val="Standaard"/>
    <w:rsid w:val="00190E82"/>
  </w:style>
  <w:style w:type="paragraph" w:customStyle="1" w:styleId="LogiusBulletsRapport">
    <w:name w:val="Logius Bullets Rapport"/>
    <w:basedOn w:val="Standaard"/>
    <w:next w:val="Standaard"/>
    <w:rsid w:val="00190E82"/>
    <w:pPr>
      <w:numPr>
        <w:numId w:val="10"/>
      </w:numPr>
    </w:pPr>
  </w:style>
  <w:style w:type="paragraph" w:customStyle="1" w:styleId="LogiusMTNotitiebullet">
    <w:name w:val="Logius MT Notitie bullet"/>
    <w:basedOn w:val="Standaard"/>
    <w:next w:val="Standaard"/>
    <w:rsid w:val="00190E82"/>
    <w:pPr>
      <w:numPr>
        <w:numId w:val="11"/>
      </w:numPr>
    </w:pPr>
  </w:style>
  <w:style w:type="paragraph" w:customStyle="1" w:styleId="LogiusMTNotitieopsomming">
    <w:name w:val="Logius MT Notitie opsomming"/>
    <w:basedOn w:val="Standaard"/>
    <w:next w:val="Standaard"/>
    <w:rsid w:val="00190E82"/>
    <w:pPr>
      <w:numPr>
        <w:numId w:val="12"/>
      </w:numPr>
    </w:pPr>
    <w:rPr>
      <w:b/>
    </w:rPr>
  </w:style>
  <w:style w:type="paragraph" w:customStyle="1" w:styleId="LogiusMTNotitieopsommingbullet">
    <w:name w:val="Logius MT Notitie opsomming bullet"/>
    <w:basedOn w:val="Standaard"/>
    <w:next w:val="Standaard"/>
    <w:rsid w:val="00190E82"/>
  </w:style>
  <w:style w:type="paragraph" w:customStyle="1" w:styleId="LogiusMTNotitieopsommingniv2">
    <w:name w:val="Logius MT Notitie opsomming niv 2"/>
    <w:basedOn w:val="Standaard"/>
    <w:next w:val="Standaard"/>
    <w:rsid w:val="00190E82"/>
    <w:pPr>
      <w:numPr>
        <w:ilvl w:val="1"/>
        <w:numId w:val="11"/>
      </w:numPr>
    </w:pPr>
  </w:style>
  <w:style w:type="paragraph" w:customStyle="1" w:styleId="LogiusMTNotitieopsommingnummering">
    <w:name w:val="Logius MT Notitie opsomming nummering"/>
    <w:basedOn w:val="Standaard"/>
    <w:next w:val="Standaard"/>
    <w:rsid w:val="00190E82"/>
  </w:style>
  <w:style w:type="paragraph" w:customStyle="1" w:styleId="LogiusNummeringExtra">
    <w:name w:val="Logius Nummering Extra"/>
    <w:basedOn w:val="Standaard"/>
    <w:next w:val="Standaard"/>
    <w:rsid w:val="00190E82"/>
    <w:pPr>
      <w:numPr>
        <w:numId w:val="13"/>
      </w:numPr>
    </w:pPr>
  </w:style>
  <w:style w:type="paragraph" w:customStyle="1" w:styleId="LogiusNummeringExtraLijst">
    <w:name w:val="Logius Nummering Extra Lijst"/>
    <w:basedOn w:val="Standaard"/>
    <w:next w:val="Standaard"/>
    <w:rsid w:val="00190E82"/>
  </w:style>
  <w:style w:type="paragraph" w:customStyle="1" w:styleId="LogiusonderschriftOpdrOvereenkomst">
    <w:name w:val="Logius onderschrift Opdr.Overeenkomst"/>
    <w:basedOn w:val="Standaard"/>
    <w:next w:val="Standaard"/>
    <w:rsid w:val="00190E82"/>
    <w:pPr>
      <w:spacing w:line="200" w:lineRule="exact"/>
      <w:ind w:left="1831"/>
    </w:pPr>
    <w:rPr>
      <w:i/>
      <w:sz w:val="16"/>
      <w:szCs w:val="16"/>
    </w:rPr>
  </w:style>
  <w:style w:type="paragraph" w:customStyle="1" w:styleId="LogiusOpsomming1a">
    <w:name w:val="Logius Opsomming 1a"/>
    <w:basedOn w:val="Standaard"/>
    <w:next w:val="Standaard"/>
    <w:rsid w:val="00190E82"/>
  </w:style>
  <w:style w:type="paragraph" w:customStyle="1" w:styleId="LogiusOpsomming1aniv1">
    <w:name w:val="Logius Opsomming 1a niv1"/>
    <w:basedOn w:val="Standaard"/>
    <w:next w:val="Standaard"/>
    <w:rsid w:val="00190E82"/>
    <w:pPr>
      <w:numPr>
        <w:numId w:val="14"/>
      </w:numPr>
    </w:pPr>
  </w:style>
  <w:style w:type="paragraph" w:customStyle="1" w:styleId="LogiusOpsomming1aniv2">
    <w:name w:val="Logius Opsomming 1a niv2"/>
    <w:basedOn w:val="Standaard"/>
    <w:next w:val="Standaard"/>
    <w:rsid w:val="00190E82"/>
    <w:pPr>
      <w:numPr>
        <w:ilvl w:val="1"/>
        <w:numId w:val="14"/>
      </w:numPr>
    </w:pPr>
  </w:style>
  <w:style w:type="paragraph" w:customStyle="1" w:styleId="LogiusOpsommingHoofdletters">
    <w:name w:val="Logius Opsomming Hoofdletters"/>
    <w:basedOn w:val="Standaard"/>
    <w:next w:val="Standaard"/>
    <w:rsid w:val="00190E82"/>
    <w:pPr>
      <w:numPr>
        <w:numId w:val="16"/>
      </w:numPr>
    </w:pPr>
  </w:style>
  <w:style w:type="paragraph" w:customStyle="1" w:styleId="LogiusRapportsoorten">
    <w:name w:val="Logius Rapportsoorten"/>
    <w:basedOn w:val="Standaard"/>
    <w:next w:val="Standaard"/>
    <w:rsid w:val="00190E82"/>
  </w:style>
  <w:style w:type="table" w:customStyle="1" w:styleId="LogiusTabelGrijs">
    <w:name w:val="Logius Tabel Grijs"/>
    <w:rsid w:val="00190E82"/>
    <w:rPr>
      <w:rFonts w:ascii="Verdana" w:hAnsi="Verdana"/>
      <w:color w:val="000000"/>
      <w:sz w:val="18"/>
      <w:szCs w:val="18"/>
    </w:rPr>
    <w:tblPr>
      <w:tblBorders>
        <w:top w:val="single" w:sz="8" w:space="0" w:color="CBCBCB"/>
        <w:left w:val="single" w:sz="8" w:space="0" w:color="CBCBCB"/>
        <w:bottom w:val="single" w:sz="8" w:space="0" w:color="CBCBCB"/>
        <w:right w:val="single" w:sz="8" w:space="0" w:color="CBCBCB"/>
        <w:insideH w:val="single" w:sz="8" w:space="0" w:color="CBCBCB"/>
        <w:insideV w:val="single" w:sz="8" w:space="0" w:color="CBCBCB"/>
      </w:tblBorders>
      <w:tblCellMar>
        <w:top w:w="0" w:type="dxa"/>
        <w:left w:w="0" w:type="dxa"/>
        <w:bottom w:w="0" w:type="dxa"/>
        <w:right w:w="0" w:type="dxa"/>
      </w:tblCellMar>
    </w:tblPr>
    <w:tcPr>
      <w:shd w:val="clear" w:color="auto" w:fill="EEEEEE"/>
    </w:tcPr>
  </w:style>
  <w:style w:type="paragraph" w:customStyle="1" w:styleId="Logiustekstmetopsommingniveau1">
    <w:name w:val="Logius tekst met opsomming niveau 1"/>
    <w:basedOn w:val="Standaard"/>
    <w:next w:val="Standaard"/>
    <w:rsid w:val="00190E82"/>
    <w:pPr>
      <w:numPr>
        <w:numId w:val="9"/>
      </w:numPr>
    </w:pPr>
  </w:style>
  <w:style w:type="paragraph" w:customStyle="1" w:styleId="Logiustekstmetopsommingniveau2">
    <w:name w:val="Logius tekst met opsomming niveau 2"/>
    <w:basedOn w:val="Standaard"/>
    <w:next w:val="Standaard"/>
    <w:rsid w:val="00190E82"/>
    <w:pPr>
      <w:numPr>
        <w:ilvl w:val="1"/>
        <w:numId w:val="9"/>
      </w:numPr>
    </w:pPr>
  </w:style>
  <w:style w:type="paragraph" w:customStyle="1" w:styleId="Logiusverdana12">
    <w:name w:val="Logius verdana 12"/>
    <w:basedOn w:val="Standaard"/>
    <w:next w:val="Standaard"/>
    <w:rsid w:val="00190E82"/>
    <w:pPr>
      <w:spacing w:line="320" w:lineRule="exact"/>
    </w:pPr>
    <w:rPr>
      <w:sz w:val="24"/>
      <w:szCs w:val="24"/>
    </w:rPr>
  </w:style>
  <w:style w:type="paragraph" w:customStyle="1" w:styleId="Logiusverdana12bold">
    <w:name w:val="Logius verdana 12 bold"/>
    <w:basedOn w:val="Standaard"/>
    <w:next w:val="Standaard"/>
    <w:rsid w:val="00190E82"/>
    <w:pPr>
      <w:spacing w:line="320" w:lineRule="exact"/>
    </w:pPr>
    <w:rPr>
      <w:b/>
      <w:sz w:val="24"/>
      <w:szCs w:val="24"/>
    </w:rPr>
  </w:style>
  <w:style w:type="paragraph" w:customStyle="1" w:styleId="LogiusVerdana12Italic">
    <w:name w:val="Logius Verdana 12 Italic"/>
    <w:basedOn w:val="Standaard"/>
    <w:next w:val="Standaard"/>
    <w:rsid w:val="00190E82"/>
    <w:rPr>
      <w:i/>
      <w:sz w:val="24"/>
      <w:szCs w:val="24"/>
    </w:rPr>
  </w:style>
  <w:style w:type="paragraph" w:customStyle="1" w:styleId="Logiusbasisnummering">
    <w:name w:val="Logius_basis_nummering"/>
    <w:basedOn w:val="Standaard"/>
    <w:next w:val="Standaard"/>
    <w:rsid w:val="00190E82"/>
  </w:style>
  <w:style w:type="table" w:customStyle="1" w:styleId="LogiusBehoeftestelling">
    <w:name w:val="Logius_Behoeftestelling"/>
    <w:rsid w:val="00190E82"/>
    <w:rPr>
      <w:rFonts w:ascii="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table" w:customStyle="1" w:styleId="LogiusBehoeftestelling02">
    <w:name w:val="Logius_Behoeftestelling_02"/>
    <w:rsid w:val="00190E82"/>
    <w:rPr>
      <w:rFonts w:ascii="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table" w:customStyle="1" w:styleId="NieuwOpmaakprofiel">
    <w:name w:val="Nieuw Opmaakprofiel"/>
    <w:rsid w:val="00190E82"/>
    <w:rPr>
      <w:rFonts w:ascii="Verdana" w:hAnsi="Verdana"/>
      <w:color w:val="000000"/>
      <w:sz w:val="24"/>
      <w:szCs w:val="24"/>
    </w:rPr>
    <w:tblPr>
      <w:tblCellMar>
        <w:top w:w="0" w:type="dxa"/>
        <w:left w:w="0" w:type="dxa"/>
        <w:bottom w:w="0" w:type="dxa"/>
        <w:right w:w="0" w:type="dxa"/>
      </w:tblCellMar>
    </w:tblPr>
    <w:tcPr>
      <w:shd w:val="clear" w:color="auto" w:fill="auto"/>
    </w:tcPr>
  </w:style>
  <w:style w:type="paragraph" w:customStyle="1" w:styleId="Ondertekeningfunctie">
    <w:name w:val="Ondertekening functie"/>
    <w:rsid w:val="00190E82"/>
    <w:pPr>
      <w:spacing w:line="240" w:lineRule="exact"/>
    </w:pPr>
    <w:rPr>
      <w:rFonts w:ascii="Verdana" w:hAnsi="Verdana"/>
      <w:i/>
      <w:color w:val="000000"/>
      <w:sz w:val="18"/>
      <w:szCs w:val="18"/>
    </w:rPr>
  </w:style>
  <w:style w:type="paragraph" w:customStyle="1" w:styleId="Ondertekeningnaam">
    <w:name w:val="Ondertekening naam"/>
    <w:rsid w:val="00190E82"/>
    <w:pPr>
      <w:spacing w:before="960" w:line="240" w:lineRule="exact"/>
    </w:pPr>
    <w:rPr>
      <w:rFonts w:ascii="Verdana" w:hAnsi="Verdana"/>
      <w:color w:val="000000"/>
      <w:sz w:val="18"/>
      <w:szCs w:val="18"/>
    </w:rPr>
  </w:style>
  <w:style w:type="paragraph" w:customStyle="1" w:styleId="OndertekeningVervolg">
    <w:name w:val="Ondertekening Vervolg"/>
    <w:basedOn w:val="Standaard"/>
    <w:rsid w:val="00190E82"/>
    <w:rPr>
      <w:i/>
    </w:rPr>
  </w:style>
  <w:style w:type="paragraph" w:customStyle="1" w:styleId="Opsomminghoofdletters">
    <w:name w:val="Opsomming hoofdletters"/>
    <w:basedOn w:val="Standaard"/>
    <w:next w:val="Standaard"/>
    <w:rsid w:val="00190E82"/>
  </w:style>
  <w:style w:type="paragraph" w:customStyle="1" w:styleId="Paginaeinde">
    <w:name w:val="Paginaeinde"/>
    <w:basedOn w:val="Standaard"/>
    <w:next w:val="Standaard"/>
    <w:rsid w:val="00190E82"/>
    <w:pPr>
      <w:pageBreakBefore/>
    </w:pPr>
    <w:rPr>
      <w:sz w:val="2"/>
      <w:szCs w:val="2"/>
    </w:rPr>
  </w:style>
  <w:style w:type="paragraph" w:customStyle="1" w:styleId="Paragraaf">
    <w:name w:val="Paragraaf"/>
    <w:basedOn w:val="Standaard"/>
    <w:next w:val="Standaard"/>
    <w:rsid w:val="00190E82"/>
    <w:pPr>
      <w:numPr>
        <w:ilvl w:val="1"/>
        <w:numId w:val="15"/>
      </w:numPr>
    </w:pPr>
    <w:rPr>
      <w:b/>
    </w:rPr>
  </w:style>
  <w:style w:type="paragraph" w:customStyle="1" w:styleId="Raad">
    <w:name w:val="Raad"/>
    <w:next w:val="Standaard"/>
    <w:rsid w:val="00190E82"/>
    <w:pPr>
      <w:spacing w:line="240" w:lineRule="exact"/>
    </w:pPr>
    <w:rPr>
      <w:rFonts w:ascii="Verdana" w:hAnsi="Verdana"/>
      <w:b/>
      <w:color w:val="000000"/>
      <w:sz w:val="24"/>
      <w:szCs w:val="24"/>
    </w:rPr>
  </w:style>
  <w:style w:type="paragraph" w:customStyle="1" w:styleId="Rapport">
    <w:name w:val="Rapport"/>
    <w:basedOn w:val="Standaard"/>
    <w:next w:val="Standaard"/>
    <w:rsid w:val="00190E82"/>
  </w:style>
  <w:style w:type="paragraph" w:customStyle="1" w:styleId="RapportNiveau1">
    <w:name w:val="Rapport_Niveau_1"/>
    <w:basedOn w:val="Standaard"/>
    <w:next w:val="Standaard"/>
    <w:rsid w:val="00190E82"/>
    <w:pPr>
      <w:numPr>
        <w:numId w:val="17"/>
      </w:numPr>
      <w:spacing w:after="700" w:line="300" w:lineRule="exact"/>
    </w:pPr>
    <w:rPr>
      <w:sz w:val="24"/>
      <w:szCs w:val="24"/>
    </w:rPr>
  </w:style>
  <w:style w:type="paragraph" w:customStyle="1" w:styleId="RapportNiveau2">
    <w:name w:val="Rapport_Niveau_2"/>
    <w:basedOn w:val="Standaard"/>
    <w:next w:val="Standaard"/>
    <w:rsid w:val="00190E82"/>
    <w:pPr>
      <w:numPr>
        <w:ilvl w:val="1"/>
        <w:numId w:val="17"/>
      </w:numPr>
    </w:pPr>
    <w:rPr>
      <w:b/>
    </w:rPr>
  </w:style>
  <w:style w:type="paragraph" w:customStyle="1" w:styleId="RapportNiveau3">
    <w:name w:val="Rapport_Niveau_3"/>
    <w:basedOn w:val="Standaard"/>
    <w:next w:val="Standaard"/>
    <w:rsid w:val="00190E82"/>
    <w:pPr>
      <w:numPr>
        <w:ilvl w:val="2"/>
        <w:numId w:val="17"/>
      </w:numPr>
    </w:pPr>
    <w:rPr>
      <w:i/>
    </w:rPr>
  </w:style>
  <w:style w:type="paragraph" w:customStyle="1" w:styleId="RapportNiveau4">
    <w:name w:val="Rapport_Niveau_4"/>
    <w:basedOn w:val="Standaard"/>
    <w:next w:val="Standaard"/>
    <w:rsid w:val="00190E82"/>
    <w:pPr>
      <w:numPr>
        <w:ilvl w:val="3"/>
        <w:numId w:val="17"/>
      </w:numPr>
    </w:pPr>
  </w:style>
  <w:style w:type="paragraph" w:customStyle="1" w:styleId="RapportNiveau5">
    <w:name w:val="Rapport_Niveau_5"/>
    <w:basedOn w:val="Standaard"/>
    <w:next w:val="Standaard"/>
    <w:rsid w:val="00190E82"/>
    <w:pPr>
      <w:numPr>
        <w:ilvl w:val="4"/>
        <w:numId w:val="17"/>
      </w:numPr>
    </w:pPr>
  </w:style>
  <w:style w:type="paragraph" w:customStyle="1" w:styleId="RapportNiveau6">
    <w:name w:val="Rapport_Niveau_6"/>
    <w:basedOn w:val="Standaard"/>
    <w:next w:val="Standaard"/>
    <w:rsid w:val="00190E82"/>
    <w:pPr>
      <w:spacing w:before="240" w:after="60" w:line="380" w:lineRule="exact"/>
    </w:pPr>
    <w:rPr>
      <w:b/>
      <w:sz w:val="32"/>
      <w:szCs w:val="32"/>
    </w:rPr>
  </w:style>
  <w:style w:type="paragraph" w:customStyle="1" w:styleId="RCOpsommingstreepje">
    <w:name w:val="RC Opsomming streepje"/>
    <w:basedOn w:val="Standaard"/>
    <w:next w:val="Standaard"/>
    <w:rsid w:val="00190E82"/>
    <w:pPr>
      <w:numPr>
        <w:numId w:val="18"/>
      </w:numPr>
    </w:pPr>
  </w:style>
  <w:style w:type="paragraph" w:customStyle="1" w:styleId="RCStreepje">
    <w:name w:val="RC Streepje"/>
    <w:basedOn w:val="Standaard"/>
    <w:next w:val="Standaard"/>
    <w:rsid w:val="00190E82"/>
  </w:style>
  <w:style w:type="paragraph" w:customStyle="1" w:styleId="RCabc">
    <w:name w:val="RC_abc"/>
    <w:basedOn w:val="Standaard"/>
    <w:next w:val="Standaard"/>
    <w:rsid w:val="00190E82"/>
  </w:style>
  <w:style w:type="paragraph" w:customStyle="1" w:styleId="RCabcalinea">
    <w:name w:val="RC_abc alinea"/>
    <w:basedOn w:val="Standaard"/>
    <w:next w:val="Standaard"/>
    <w:rsid w:val="00190E82"/>
    <w:pPr>
      <w:numPr>
        <w:numId w:val="19"/>
      </w:numPr>
    </w:pPr>
  </w:style>
  <w:style w:type="paragraph" w:customStyle="1" w:styleId="Referentiegegevens">
    <w:name w:val="Referentiegegevens"/>
    <w:next w:val="Standaard"/>
    <w:rsid w:val="00190E82"/>
    <w:pPr>
      <w:tabs>
        <w:tab w:val="left" w:pos="170"/>
      </w:tabs>
      <w:spacing w:line="180" w:lineRule="exact"/>
    </w:pPr>
    <w:rPr>
      <w:rFonts w:ascii="Verdana" w:hAnsi="Verdana"/>
      <w:color w:val="000000"/>
      <w:sz w:val="13"/>
      <w:szCs w:val="13"/>
    </w:rPr>
  </w:style>
  <w:style w:type="paragraph" w:customStyle="1" w:styleId="Referentiegegevenscursief">
    <w:name w:val="Referentiegegevens cursief"/>
    <w:next w:val="Standaard"/>
    <w:rsid w:val="00190E82"/>
    <w:pPr>
      <w:tabs>
        <w:tab w:val="left" w:pos="170"/>
      </w:tabs>
      <w:spacing w:line="180" w:lineRule="exact"/>
    </w:pPr>
    <w:rPr>
      <w:rFonts w:ascii="Verdana" w:hAnsi="Verdana"/>
      <w:i/>
      <w:color w:val="000000"/>
      <w:sz w:val="13"/>
      <w:szCs w:val="13"/>
    </w:rPr>
  </w:style>
  <w:style w:type="paragraph" w:customStyle="1" w:styleId="ReferentiegegevensmetW1boven">
    <w:name w:val="Referentiegegevens met W1 boven"/>
    <w:next w:val="Standaard"/>
    <w:rsid w:val="00190E82"/>
    <w:pPr>
      <w:tabs>
        <w:tab w:val="left" w:pos="170"/>
      </w:tabs>
      <w:spacing w:before="90" w:line="180" w:lineRule="exact"/>
    </w:pPr>
    <w:rPr>
      <w:rFonts w:ascii="Verdana" w:hAnsi="Verdana"/>
      <w:color w:val="000000"/>
      <w:sz w:val="13"/>
      <w:szCs w:val="13"/>
    </w:rPr>
  </w:style>
  <w:style w:type="paragraph" w:customStyle="1" w:styleId="Retouradres">
    <w:name w:val="Retouradres"/>
    <w:rsid w:val="00190E82"/>
    <w:pPr>
      <w:spacing w:line="180" w:lineRule="exact"/>
    </w:pPr>
    <w:rPr>
      <w:rFonts w:ascii="Verdana" w:hAnsi="Verdana"/>
      <w:color w:val="000000"/>
      <w:sz w:val="13"/>
      <w:szCs w:val="13"/>
    </w:rPr>
  </w:style>
  <w:style w:type="paragraph" w:customStyle="1" w:styleId="Robabcvet">
    <w:name w:val="Rob_abc vet"/>
    <w:basedOn w:val="Standaard"/>
    <w:next w:val="Standaard"/>
    <w:rsid w:val="00190E82"/>
    <w:pPr>
      <w:numPr>
        <w:ilvl w:val="2"/>
        <w:numId w:val="20"/>
      </w:numPr>
      <w:spacing w:before="180" w:line="300" w:lineRule="exact"/>
    </w:pPr>
    <w:rPr>
      <w:b/>
    </w:rPr>
  </w:style>
  <w:style w:type="paragraph" w:customStyle="1" w:styleId="Rob-RfvRaadsnotadocumentnaam">
    <w:name w:val="Rob-Rfv Raadsnota documentnaam"/>
    <w:next w:val="Standaard"/>
    <w:rsid w:val="00190E82"/>
    <w:pPr>
      <w:spacing w:line="440" w:lineRule="exact"/>
    </w:pPr>
    <w:rPr>
      <w:rFonts w:ascii="Verdana" w:hAnsi="Verdana"/>
      <w:color w:val="FF0000"/>
      <w:sz w:val="44"/>
      <w:szCs w:val="44"/>
    </w:rPr>
  </w:style>
  <w:style w:type="paragraph" w:customStyle="1" w:styleId="RobRfvStandaardTAB">
    <w:name w:val="Rob/Rfv Standaard TAB"/>
    <w:basedOn w:val="Standaard"/>
    <w:next w:val="Standaard"/>
    <w:rsid w:val="00190E82"/>
    <w:pPr>
      <w:tabs>
        <w:tab w:val="left" w:pos="1133"/>
      </w:tabs>
    </w:pPr>
  </w:style>
  <w:style w:type="paragraph" w:customStyle="1" w:styleId="Robrfvabc">
    <w:name w:val="Robrfv_abc"/>
    <w:basedOn w:val="Standaard"/>
    <w:next w:val="Standaard"/>
    <w:rsid w:val="00190E82"/>
    <w:pPr>
      <w:numPr>
        <w:ilvl w:val="5"/>
        <w:numId w:val="20"/>
      </w:numPr>
      <w:spacing w:before="180" w:line="300" w:lineRule="exact"/>
    </w:pPr>
  </w:style>
  <w:style w:type="paragraph" w:customStyle="1" w:styleId="Robrfvniv1b11">
    <w:name w:val="Robrfvniv1_b11"/>
    <w:basedOn w:val="Standaard"/>
    <w:next w:val="Standaard"/>
    <w:rsid w:val="00190E82"/>
    <w:pPr>
      <w:numPr>
        <w:numId w:val="20"/>
      </w:numPr>
      <w:spacing w:before="360" w:line="300" w:lineRule="exact"/>
    </w:pPr>
    <w:rPr>
      <w:b/>
      <w:sz w:val="22"/>
      <w:szCs w:val="22"/>
    </w:rPr>
  </w:style>
  <w:style w:type="paragraph" w:customStyle="1" w:styleId="Robrfvniv2">
    <w:name w:val="Robrfvniv2"/>
    <w:basedOn w:val="Standaard"/>
    <w:next w:val="Standaard"/>
    <w:rsid w:val="00190E82"/>
    <w:pPr>
      <w:numPr>
        <w:ilvl w:val="1"/>
        <w:numId w:val="20"/>
      </w:numPr>
      <w:spacing w:before="180" w:line="300" w:lineRule="exact"/>
    </w:pPr>
    <w:rPr>
      <w:b/>
    </w:rPr>
  </w:style>
  <w:style w:type="paragraph" w:customStyle="1" w:styleId="Robrfvniv3standaard">
    <w:name w:val="Robrfvniv3_standaard"/>
    <w:basedOn w:val="Standaard"/>
    <w:next w:val="Standaard"/>
    <w:rsid w:val="00190E82"/>
    <w:pPr>
      <w:numPr>
        <w:ilvl w:val="3"/>
        <w:numId w:val="20"/>
      </w:numPr>
    </w:pPr>
  </w:style>
  <w:style w:type="paragraph" w:customStyle="1" w:styleId="Robrfvniv5">
    <w:name w:val="Robrfvniv5"/>
    <w:basedOn w:val="Standaard"/>
    <w:next w:val="Standaard"/>
    <w:rsid w:val="00190E82"/>
    <w:pPr>
      <w:numPr>
        <w:ilvl w:val="4"/>
        <w:numId w:val="20"/>
      </w:numPr>
    </w:pPr>
  </w:style>
  <w:style w:type="paragraph" w:customStyle="1" w:styleId="Robrfvopsommingslijst">
    <w:name w:val="Robrfvopsommingslijst"/>
    <w:basedOn w:val="Standaard"/>
    <w:next w:val="Standaard"/>
    <w:rsid w:val="00190E82"/>
  </w:style>
  <w:style w:type="paragraph" w:customStyle="1" w:styleId="Rubricering">
    <w:name w:val="Rubricering"/>
    <w:next w:val="Standaard"/>
    <w:rsid w:val="00190E82"/>
    <w:pPr>
      <w:spacing w:line="180" w:lineRule="exact"/>
    </w:pPr>
    <w:rPr>
      <w:rFonts w:ascii="Verdana" w:hAnsi="Verdana"/>
      <w:b/>
      <w:caps/>
      <w:color w:val="000000"/>
      <w:sz w:val="13"/>
      <w:szCs w:val="13"/>
    </w:rPr>
  </w:style>
  <w:style w:type="paragraph" w:customStyle="1" w:styleId="RubriceringHvK">
    <w:name w:val="Rubricering HvK"/>
    <w:basedOn w:val="StandaardHvK"/>
    <w:rsid w:val="00190E82"/>
    <w:pPr>
      <w:spacing w:line="240" w:lineRule="exact"/>
    </w:pPr>
    <w:rPr>
      <w:b/>
      <w:sz w:val="24"/>
      <w:szCs w:val="24"/>
    </w:rPr>
  </w:style>
  <w:style w:type="paragraph" w:customStyle="1" w:styleId="RVIGCijferopsomming">
    <w:name w:val="RVIG Cijferopsomming"/>
    <w:basedOn w:val="Standaard"/>
    <w:next w:val="Standaard"/>
    <w:rsid w:val="00190E82"/>
  </w:style>
  <w:style w:type="paragraph" w:customStyle="1" w:styleId="RVIGLetteropsomming">
    <w:name w:val="RVIG Letteropsomming"/>
    <w:basedOn w:val="Standaard"/>
    <w:next w:val="Standaard"/>
    <w:rsid w:val="00190E82"/>
  </w:style>
  <w:style w:type="paragraph" w:customStyle="1" w:styleId="RvIGOpsomming">
    <w:name w:val="RvIG Opsomming"/>
    <w:basedOn w:val="Standaard"/>
    <w:next w:val="Standaard"/>
    <w:rsid w:val="00190E82"/>
    <w:pPr>
      <w:ind w:left="1260"/>
    </w:pPr>
  </w:style>
  <w:style w:type="paragraph" w:customStyle="1" w:styleId="RVIGOpsommingGebruikersgegevens">
    <w:name w:val="RVIG Opsomming Gebruikersgegevens"/>
    <w:basedOn w:val="Standaard"/>
    <w:next w:val="Standaard"/>
    <w:rsid w:val="00190E82"/>
    <w:pPr>
      <w:tabs>
        <w:tab w:val="left" w:pos="5930"/>
      </w:tabs>
    </w:pPr>
  </w:style>
  <w:style w:type="table" w:customStyle="1" w:styleId="RViGTabelFormulieren">
    <w:name w:val="RViG Tabel Formulieren"/>
    <w:rsid w:val="00190E82"/>
    <w:rPr>
      <w:sz w:val="18"/>
      <w:szCs w:val="18"/>
    </w:rPr>
    <w:tblPr>
      <w:tblBorders>
        <w:top w:val="single" w:sz="8" w:space="0" w:color="080808"/>
        <w:left w:val="single" w:sz="8" w:space="0" w:color="080808"/>
        <w:bottom w:val="single" w:sz="8" w:space="0" w:color="080808"/>
        <w:right w:val="single" w:sz="8" w:space="0" w:color="080808"/>
        <w:insideH w:val="single" w:sz="8" w:space="0" w:color="080808"/>
        <w:insideV w:val="single" w:sz="8" w:space="0" w:color="080808"/>
      </w:tblBorders>
      <w:tblCellMar>
        <w:top w:w="0" w:type="dxa"/>
        <w:left w:w="0" w:type="dxa"/>
        <w:bottom w:w="0" w:type="dxa"/>
        <w:right w:w="0" w:type="dxa"/>
      </w:tblCellMar>
    </w:tblPr>
    <w:tcPr>
      <w:shd w:val="clear" w:color="auto" w:fill="FFFFFF"/>
    </w:tcPr>
  </w:style>
  <w:style w:type="paragraph" w:customStyle="1" w:styleId="RvIGTekstbesluitmetcijfers">
    <w:name w:val="RvIG Tekst besluit met cijfers"/>
    <w:basedOn w:val="Standaard"/>
    <w:next w:val="Standaard"/>
    <w:rsid w:val="00190E82"/>
    <w:pPr>
      <w:numPr>
        <w:numId w:val="21"/>
      </w:numPr>
      <w:spacing w:after="240"/>
    </w:pPr>
  </w:style>
  <w:style w:type="paragraph" w:customStyle="1" w:styleId="RVIGTekstbesluitmetletters">
    <w:name w:val="RVIG Tekst besluit met letters"/>
    <w:basedOn w:val="Standaard"/>
    <w:next w:val="Standaard"/>
    <w:rsid w:val="00190E82"/>
    <w:pPr>
      <w:numPr>
        <w:numId w:val="22"/>
      </w:numPr>
      <w:spacing w:after="240"/>
    </w:pPr>
  </w:style>
  <w:style w:type="paragraph" w:customStyle="1" w:styleId="Slotzin">
    <w:name w:val="Slotzin"/>
    <w:basedOn w:val="Standaard"/>
    <w:next w:val="Standaard"/>
    <w:rsid w:val="00190E82"/>
  </w:style>
  <w:style w:type="paragraph" w:customStyle="1" w:styleId="SSCICTslotzin">
    <w:name w:val="SSC_ICT_slotzin"/>
    <w:basedOn w:val="Standaard"/>
    <w:next w:val="Standaard"/>
    <w:rsid w:val="00190E82"/>
    <w:pPr>
      <w:spacing w:before="240"/>
    </w:pPr>
  </w:style>
  <w:style w:type="paragraph" w:customStyle="1" w:styleId="SSC-ICTAanhef">
    <w:name w:val="SSC-ICT Aanhef"/>
    <w:basedOn w:val="Standaard"/>
    <w:next w:val="Standaard"/>
    <w:rsid w:val="00190E82"/>
    <w:pPr>
      <w:spacing w:before="100" w:after="240"/>
    </w:pPr>
  </w:style>
  <w:style w:type="table" w:customStyle="1" w:styleId="SSC-ICTTabelDecharge">
    <w:name w:val="SSC-ICT Tabel Decharge"/>
    <w:rsid w:val="00190E82"/>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3" w:type="dxa"/>
        <w:left w:w="107" w:type="dxa"/>
        <w:bottom w:w="23" w:type="dxa"/>
        <w:right w:w="107" w:type="dxa"/>
      </w:tblCellMar>
    </w:tblPr>
    <w:tcPr>
      <w:shd w:val="clear" w:color="auto" w:fill="auto"/>
    </w:tcPr>
  </w:style>
  <w:style w:type="table" w:customStyle="1" w:styleId="SSC-ICTTabellijnen">
    <w:name w:val="SSC-ICT Tabel lijnen"/>
    <w:rsid w:val="00190E82"/>
    <w:rPr>
      <w:rFonts w:ascii="Verdana" w:hAnsi="Verdana"/>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40" w:type="dxa"/>
        <w:bottom w:w="0" w:type="dxa"/>
        <w:right w:w="40" w:type="dxa"/>
      </w:tblCellMar>
    </w:tblPr>
    <w:tcPr>
      <w:shd w:val="clear" w:color="auto" w:fill="auto"/>
    </w:tcPr>
    <w:tblStylePr w:type="firstRow">
      <w:tblPr/>
      <w:tcPr>
        <w:shd w:val="clear" w:color="auto" w:fill="BDBDBD"/>
      </w:tcPr>
    </w:tblStylePr>
  </w:style>
  <w:style w:type="table" w:customStyle="1" w:styleId="SSC-ICTTabelzonderachtergondkleur">
    <w:name w:val="SSC-ICT Tabel zonder achtergondkleur"/>
    <w:rsid w:val="00190E82"/>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paragraph" w:customStyle="1" w:styleId="SSC-ICTTabelkop">
    <w:name w:val="SSC-ICT Tabelkop"/>
    <w:basedOn w:val="Standaard"/>
    <w:next w:val="Standaard"/>
    <w:rsid w:val="00190E82"/>
    <w:pPr>
      <w:spacing w:before="40" w:after="40"/>
      <w:ind w:left="40"/>
    </w:pPr>
  </w:style>
  <w:style w:type="paragraph" w:customStyle="1" w:styleId="Standaardboldrechts">
    <w:name w:val="Standaard bold rechts"/>
    <w:basedOn w:val="Standaard"/>
    <w:next w:val="Standaard"/>
    <w:rsid w:val="00190E82"/>
    <w:pPr>
      <w:jc w:val="right"/>
    </w:pPr>
    <w:rPr>
      <w:b/>
    </w:rPr>
  </w:style>
  <w:style w:type="paragraph" w:customStyle="1" w:styleId="StandaardCursief">
    <w:name w:val="Standaard Cursief"/>
    <w:basedOn w:val="Standaard"/>
    <w:next w:val="Standaard"/>
    <w:rsid w:val="00190E82"/>
    <w:rPr>
      <w:i/>
    </w:rPr>
  </w:style>
  <w:style w:type="paragraph" w:customStyle="1" w:styleId="StandaardGrijsgemarkeerd">
    <w:name w:val="Standaard Grijs gemarkeerd"/>
    <w:basedOn w:val="Standaard"/>
    <w:next w:val="Standaard"/>
    <w:rsid w:val="00190E82"/>
    <w:pPr>
      <w:shd w:val="clear" w:color="auto" w:fill="B2B2B2"/>
    </w:pPr>
  </w:style>
  <w:style w:type="paragraph" w:customStyle="1" w:styleId="StandaardHvK">
    <w:name w:val="Standaard HvK"/>
    <w:next w:val="Standaard"/>
    <w:rsid w:val="00190E82"/>
    <w:pPr>
      <w:spacing w:line="300" w:lineRule="exact"/>
    </w:pPr>
    <w:rPr>
      <w:rFonts w:ascii="Helvetica" w:hAnsi="Helvetica"/>
      <w:color w:val="000000"/>
    </w:rPr>
  </w:style>
  <w:style w:type="paragraph" w:customStyle="1" w:styleId="StandaardKleinKapitaal">
    <w:name w:val="Standaard Klein Kapitaal"/>
    <w:basedOn w:val="Standaard"/>
    <w:next w:val="Standaard"/>
    <w:rsid w:val="00190E82"/>
    <w:rPr>
      <w:smallCaps/>
    </w:rPr>
  </w:style>
  <w:style w:type="paragraph" w:customStyle="1" w:styleId="Standaardrechts">
    <w:name w:val="Standaard rechts"/>
    <w:basedOn w:val="Standaard"/>
    <w:next w:val="Standaard"/>
    <w:rsid w:val="00190E82"/>
    <w:pPr>
      <w:jc w:val="right"/>
    </w:pPr>
  </w:style>
  <w:style w:type="paragraph" w:customStyle="1" w:styleId="Standaardtabeltekst">
    <w:name w:val="Standaard tabel tekst"/>
    <w:basedOn w:val="Standaard"/>
    <w:next w:val="Standaard"/>
    <w:rsid w:val="00190E82"/>
    <w:pPr>
      <w:spacing w:line="220" w:lineRule="exact"/>
    </w:pPr>
  </w:style>
  <w:style w:type="paragraph" w:customStyle="1" w:styleId="StandaardVerdana12">
    <w:name w:val="Standaard Verdana 12"/>
    <w:basedOn w:val="Standaard"/>
    <w:next w:val="Standaard"/>
    <w:rsid w:val="00190E82"/>
    <w:rPr>
      <w:sz w:val="24"/>
      <w:szCs w:val="24"/>
    </w:rPr>
  </w:style>
  <w:style w:type="paragraph" w:customStyle="1" w:styleId="StandaardVerdana12bold">
    <w:name w:val="Standaard Verdana 12 bold"/>
    <w:basedOn w:val="Standaard"/>
    <w:next w:val="Standaard"/>
    <w:rsid w:val="00190E82"/>
    <w:rPr>
      <w:b/>
      <w:sz w:val="24"/>
      <w:szCs w:val="24"/>
    </w:rPr>
  </w:style>
  <w:style w:type="paragraph" w:customStyle="1" w:styleId="StandaardVerdana14">
    <w:name w:val="Standaard Verdana 14"/>
    <w:basedOn w:val="Standaard"/>
    <w:next w:val="Standaard"/>
    <w:rsid w:val="00190E82"/>
    <w:pPr>
      <w:spacing w:line="340" w:lineRule="exact"/>
    </w:pPr>
    <w:rPr>
      <w:sz w:val="28"/>
      <w:szCs w:val="28"/>
    </w:rPr>
  </w:style>
  <w:style w:type="paragraph" w:customStyle="1" w:styleId="StandaardVerdana16Projectcontract">
    <w:name w:val="Standaard Verdana 16 Projectcontract"/>
    <w:basedOn w:val="Standaard"/>
    <w:next w:val="Standaard"/>
    <w:rsid w:val="00190E82"/>
    <w:pPr>
      <w:spacing w:after="900" w:line="380" w:lineRule="exact"/>
    </w:pPr>
    <w:rPr>
      <w:sz w:val="32"/>
      <w:szCs w:val="32"/>
    </w:rPr>
  </w:style>
  <w:style w:type="paragraph" w:customStyle="1" w:styleId="StandaardVerdana8">
    <w:name w:val="Standaard Verdana 8"/>
    <w:basedOn w:val="Standaard"/>
    <w:next w:val="Standaard"/>
    <w:rsid w:val="00190E82"/>
    <w:rPr>
      <w:sz w:val="16"/>
      <w:szCs w:val="16"/>
    </w:rPr>
  </w:style>
  <w:style w:type="paragraph" w:customStyle="1" w:styleId="StandaardVet">
    <w:name w:val="Standaard Vet"/>
    <w:basedOn w:val="Standaard"/>
    <w:next w:val="Standaard"/>
    <w:rsid w:val="00190E82"/>
    <w:rPr>
      <w:b/>
    </w:rPr>
  </w:style>
  <w:style w:type="table" w:customStyle="1" w:styleId="Standaardtabelmetranden">
    <w:name w:val="Standaardtabel met randen"/>
    <w:rsid w:val="00190E82"/>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7" w:type="dxa"/>
        <w:bottom w:w="0" w:type="dxa"/>
        <w:right w:w="107" w:type="dxa"/>
      </w:tblCellMar>
    </w:tblPr>
    <w:tcPr>
      <w:shd w:val="clear" w:color="auto" w:fill="auto"/>
    </w:tcPr>
  </w:style>
  <w:style w:type="paragraph" w:customStyle="1" w:styleId="Subparagraaf">
    <w:name w:val="Subparagraaf"/>
    <w:basedOn w:val="Standaard"/>
    <w:next w:val="Standaard"/>
    <w:rsid w:val="00190E82"/>
    <w:pPr>
      <w:numPr>
        <w:ilvl w:val="2"/>
        <w:numId w:val="15"/>
      </w:numPr>
    </w:pPr>
    <w:rPr>
      <w:i/>
    </w:rPr>
  </w:style>
  <w:style w:type="paragraph" w:customStyle="1" w:styleId="Subparagraaf2">
    <w:name w:val="Subparagraaf 2"/>
    <w:basedOn w:val="Standaard"/>
    <w:next w:val="Standaard"/>
    <w:rsid w:val="00190E82"/>
    <w:pPr>
      <w:numPr>
        <w:ilvl w:val="3"/>
        <w:numId w:val="15"/>
      </w:numPr>
    </w:pPr>
  </w:style>
  <w:style w:type="paragraph" w:customStyle="1" w:styleId="Subtitelpersbericht">
    <w:name w:val="Subtitel persbericht"/>
    <w:basedOn w:val="Titelpersbericht"/>
    <w:next w:val="Standaard"/>
    <w:rsid w:val="00190E82"/>
    <w:rPr>
      <w:b w:val="0"/>
    </w:rPr>
  </w:style>
  <w:style w:type="paragraph" w:customStyle="1" w:styleId="SubtitelRapport">
    <w:name w:val="Subtitel Rapport"/>
    <w:next w:val="Standaard"/>
    <w:rsid w:val="00190E82"/>
    <w:pPr>
      <w:spacing w:line="240" w:lineRule="exact"/>
    </w:pPr>
    <w:rPr>
      <w:rFonts w:ascii="Verdana" w:hAnsi="Verdana"/>
      <w:color w:val="000000"/>
      <w:sz w:val="16"/>
      <w:szCs w:val="16"/>
    </w:rPr>
  </w:style>
  <w:style w:type="table" w:customStyle="1" w:styleId="TabelVorderingsbriefrijhoogte">
    <w:name w:val="Tabel Vorderingsbrief rijhoogte"/>
    <w:rsid w:val="00190E82"/>
    <w:rPr>
      <w:rFonts w:ascii="Verdana" w:hAnsi="Verdana"/>
      <w:color w:val="000000"/>
      <w:sz w:val="18"/>
      <w:szCs w:val="18"/>
    </w:rPr>
    <w:tblPr>
      <w:tblCellMar>
        <w:top w:w="60" w:type="dxa"/>
        <w:left w:w="0" w:type="dxa"/>
        <w:bottom w:w="60" w:type="dxa"/>
        <w:right w:w="0" w:type="dxa"/>
      </w:tblCellMar>
    </w:tblPr>
    <w:tcPr>
      <w:shd w:val="clear" w:color="auto" w:fill="auto"/>
    </w:tcPr>
  </w:style>
  <w:style w:type="table" w:customStyle="1" w:styleId="TabelBehoeftestellingsformulier">
    <w:name w:val="Tabel_Behoeftestellingsformulier"/>
    <w:rsid w:val="00190E82"/>
    <w:rPr>
      <w:rFonts w:ascii="Verdana" w:hAnsi="Verdana"/>
      <w:color w:val="000000"/>
      <w:sz w:val="18"/>
      <w:szCs w:val="18"/>
    </w:rPr>
    <w:tblPr>
      <w:tblCellMar>
        <w:top w:w="0" w:type="dxa"/>
        <w:left w:w="40" w:type="dxa"/>
        <w:bottom w:w="0" w:type="dxa"/>
        <w:right w:w="40" w:type="dxa"/>
      </w:tblCellMar>
    </w:tblPr>
    <w:tcPr>
      <w:shd w:val="clear" w:color="auto" w:fill="CBCBCB"/>
    </w:tcPr>
  </w:style>
  <w:style w:type="table" w:customStyle="1" w:styleId="TabelProjectbrief">
    <w:name w:val="Tabel_Projectbrief"/>
    <w:rsid w:val="00190E82"/>
    <w:rPr>
      <w:rFonts w:ascii="Verdana" w:hAnsi="Verdana"/>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style>
  <w:style w:type="table" w:customStyle="1" w:styleId="TabelProjectbriefeersterijvet">
    <w:name w:val="Tabel_Projectbrief_eerste_rij_vet"/>
    <w:rsid w:val="00190E82"/>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tblStylePr w:type="firstRow">
      <w:rPr>
        <w:b/>
      </w:rPr>
    </w:tblStylePr>
    <w:tblStylePr w:type="firstCol">
      <w:rPr>
        <w:rFonts w:ascii="Verdana" w:hAnsi="Verdana"/>
        <w:b w:val="0"/>
        <w:sz w:val="18"/>
        <w:szCs w:val="18"/>
      </w:rPr>
    </w:tblStylePr>
  </w:style>
  <w:style w:type="table" w:customStyle="1" w:styleId="TabelProjectbriefinspringen">
    <w:name w:val="Tabel_Projectbrief_inspringen"/>
    <w:rsid w:val="00190E82"/>
    <w:pPr>
      <w:tabs>
        <w:tab w:val="left" w:pos="2551"/>
      </w:tabs>
    </w:pPr>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Tabelprojectcontract">
    <w:name w:val="Tabel_projectcontract"/>
    <w:rsid w:val="00190E82"/>
    <w:rPr>
      <w:rFonts w:ascii="Verdana" w:hAnsi="Verdana"/>
      <w:color w:val="000000"/>
      <w:sz w:val="18"/>
      <w:szCs w:val="18"/>
    </w:rPr>
    <w:tblPr>
      <w:tblCellMar>
        <w:top w:w="0" w:type="dxa"/>
        <w:left w:w="0" w:type="dxa"/>
        <w:bottom w:w="0" w:type="dxa"/>
        <w:right w:w="0" w:type="dxa"/>
      </w:tblCellMar>
    </w:tblPr>
    <w:tcPr>
      <w:shd w:val="clear" w:color="auto" w:fill="auto"/>
    </w:tcPr>
  </w:style>
  <w:style w:type="table" w:customStyle="1" w:styleId="TabelProjectplan1">
    <w:name w:val="Tabel_Projectplan_1"/>
    <w:rsid w:val="00190E82"/>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tblStylePr w:type="firstCol">
      <w:rPr>
        <w:b/>
      </w:rPr>
    </w:tblStylePr>
  </w:style>
  <w:style w:type="table" w:customStyle="1" w:styleId="TabelProjectplan2">
    <w:name w:val="Tabel_Projectplan_2"/>
    <w:rsid w:val="00190E82"/>
    <w:rPr>
      <w:rFonts w:ascii="Verdana" w:hAnsi="Verdana"/>
      <w:b/>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DBDBDB"/>
    </w:tcPr>
  </w:style>
  <w:style w:type="paragraph" w:customStyle="1" w:styleId="Tabelkop">
    <w:name w:val="Tabelkop"/>
    <w:next w:val="Standaard"/>
    <w:rsid w:val="00190E82"/>
    <w:pPr>
      <w:spacing w:line="240" w:lineRule="exact"/>
    </w:pPr>
    <w:rPr>
      <w:rFonts w:ascii="Verdana" w:hAnsi="Verdana"/>
      <w:b/>
      <w:color w:val="000000"/>
      <w:sz w:val="16"/>
      <w:szCs w:val="16"/>
    </w:rPr>
  </w:style>
  <w:style w:type="paragraph" w:customStyle="1" w:styleId="Titelpersbericht">
    <w:name w:val="Titel persbericht"/>
    <w:next w:val="Standaard"/>
    <w:rsid w:val="00190E82"/>
    <w:pPr>
      <w:spacing w:line="320" w:lineRule="exact"/>
    </w:pPr>
    <w:rPr>
      <w:rFonts w:ascii="Verdana" w:hAnsi="Verdana"/>
      <w:b/>
      <w:color w:val="000000"/>
      <w:sz w:val="24"/>
      <w:szCs w:val="24"/>
    </w:rPr>
  </w:style>
  <w:style w:type="paragraph" w:customStyle="1" w:styleId="Toezendgegevens">
    <w:name w:val="Toezendgegevens"/>
    <w:rsid w:val="00190E82"/>
    <w:pPr>
      <w:spacing w:line="240" w:lineRule="exact"/>
    </w:pPr>
    <w:rPr>
      <w:rFonts w:ascii="Verdana" w:hAnsi="Verdana"/>
      <w:color w:val="000000"/>
      <w:sz w:val="18"/>
      <w:szCs w:val="18"/>
    </w:rPr>
  </w:style>
  <w:style w:type="paragraph" w:customStyle="1" w:styleId="ToezendgegevensHvK">
    <w:name w:val="Toezendgegevens HvK"/>
    <w:basedOn w:val="StandaardHvK"/>
    <w:rsid w:val="00190E82"/>
    <w:pPr>
      <w:spacing w:line="220" w:lineRule="exact"/>
    </w:pPr>
  </w:style>
  <w:style w:type="paragraph" w:customStyle="1" w:styleId="Verdana65">
    <w:name w:val="Verdana 6;5"/>
    <w:basedOn w:val="Standaard"/>
    <w:next w:val="Standaard"/>
    <w:rsid w:val="00190E82"/>
    <w:rPr>
      <w:sz w:val="13"/>
      <w:szCs w:val="13"/>
    </w:rPr>
  </w:style>
  <w:style w:type="paragraph" w:customStyle="1" w:styleId="Verdana65bold">
    <w:name w:val="Verdana 6;5 bold"/>
    <w:basedOn w:val="Standaard"/>
    <w:next w:val="Standaard"/>
    <w:rsid w:val="00190E82"/>
    <w:pPr>
      <w:spacing w:line="180" w:lineRule="exact"/>
    </w:pPr>
    <w:rPr>
      <w:b/>
      <w:sz w:val="13"/>
      <w:szCs w:val="13"/>
    </w:rPr>
  </w:style>
  <w:style w:type="paragraph" w:customStyle="1" w:styleId="Verdana8">
    <w:name w:val="Verdana 8"/>
    <w:next w:val="Standaard"/>
    <w:rsid w:val="00190E82"/>
    <w:pPr>
      <w:spacing w:line="180" w:lineRule="exact"/>
    </w:pPr>
    <w:rPr>
      <w:rFonts w:ascii="Verdana" w:hAnsi="Verdana"/>
      <w:color w:val="000000"/>
      <w:sz w:val="16"/>
      <w:szCs w:val="16"/>
    </w:rPr>
  </w:style>
  <w:style w:type="paragraph" w:customStyle="1" w:styleId="Verdana8rechts">
    <w:name w:val="Verdana 8 rechts"/>
    <w:basedOn w:val="Standaard"/>
    <w:next w:val="Standaard"/>
    <w:rsid w:val="00190E82"/>
    <w:pPr>
      <w:jc w:val="right"/>
    </w:pPr>
    <w:rPr>
      <w:sz w:val="16"/>
      <w:szCs w:val="16"/>
    </w:rPr>
  </w:style>
  <w:style w:type="paragraph" w:customStyle="1" w:styleId="VetStandaard">
    <w:name w:val="Vet (Standaard)"/>
    <w:basedOn w:val="Standaard"/>
    <w:next w:val="Standaard"/>
    <w:rsid w:val="00190E82"/>
    <w:rPr>
      <w:b/>
    </w:rPr>
  </w:style>
  <w:style w:type="paragraph" w:customStyle="1" w:styleId="Voetnoot">
    <w:name w:val="Voetnoot"/>
    <w:basedOn w:val="Standaard"/>
    <w:rsid w:val="00190E82"/>
    <w:rPr>
      <w:sz w:val="16"/>
      <w:szCs w:val="16"/>
    </w:rPr>
  </w:style>
  <w:style w:type="paragraph" w:customStyle="1" w:styleId="VoetnootVorderingsbrief">
    <w:name w:val="Voetnoot Vorderingsbrief"/>
    <w:basedOn w:val="Standaard"/>
    <w:rsid w:val="00190E82"/>
    <w:pPr>
      <w:spacing w:line="200" w:lineRule="exact"/>
    </w:pPr>
    <w:rPr>
      <w:sz w:val="14"/>
      <w:szCs w:val="14"/>
    </w:rPr>
  </w:style>
  <w:style w:type="paragraph" w:customStyle="1" w:styleId="VTWmeldingrood">
    <w:name w:val="VTW melding rood"/>
    <w:basedOn w:val="Standaard"/>
    <w:next w:val="Standaard"/>
    <w:rsid w:val="00190E82"/>
    <w:rPr>
      <w:color w:val="FF0000"/>
      <w:sz w:val="16"/>
      <w:szCs w:val="16"/>
    </w:rPr>
  </w:style>
  <w:style w:type="table" w:customStyle="1" w:styleId="VTWTabelOnderdeel1">
    <w:name w:val="VTW Tabel Onderdeel 1"/>
    <w:rsid w:val="00190E82"/>
    <w:rPr>
      <w:rFonts w:ascii="Verdana" w:hAnsi="Verdana"/>
      <w:color w:val="000000"/>
      <w:sz w:val="18"/>
      <w:szCs w:val="18"/>
    </w:rPr>
    <w:tblPr>
      <w:tblCellMar>
        <w:top w:w="0" w:type="dxa"/>
        <w:left w:w="0" w:type="dxa"/>
        <w:bottom w:w="0" w:type="dxa"/>
        <w:right w:w="0" w:type="dxa"/>
      </w:tblCellMar>
    </w:tblPr>
    <w:tcPr>
      <w:shd w:val="clear" w:color="auto" w:fill="auto"/>
    </w:tcPr>
  </w:style>
  <w:style w:type="table" w:customStyle="1" w:styleId="VTWtabelwit">
    <w:name w:val="VTW tabel wit"/>
    <w:rsid w:val="00190E82"/>
    <w:rPr>
      <w:rFonts w:ascii="Verdana" w:hAnsi="Verdana"/>
      <w:color w:val="000000"/>
      <w:sz w:val="18"/>
      <w:szCs w:val="18"/>
    </w:rPr>
    <w:tblPr>
      <w:tblCellMar>
        <w:top w:w="0" w:type="dxa"/>
        <w:left w:w="0" w:type="dxa"/>
        <w:bottom w:w="0" w:type="dxa"/>
        <w:right w:w="0" w:type="dxa"/>
      </w:tblCellMar>
    </w:tblPr>
    <w:tcPr>
      <w:shd w:val="clear" w:color="auto" w:fill="auto"/>
    </w:tcPr>
  </w:style>
  <w:style w:type="paragraph" w:customStyle="1" w:styleId="VTWTijdelijkeAanduiding">
    <w:name w:val="VTW Tijdelijke Aanduiding"/>
    <w:basedOn w:val="Standaard"/>
    <w:next w:val="Standaard"/>
    <w:rsid w:val="00190E82"/>
    <w:pPr>
      <w:shd w:val="clear" w:color="auto" w:fill="EEEEEE"/>
    </w:pPr>
  </w:style>
  <w:style w:type="paragraph" w:customStyle="1" w:styleId="VTWVerdana">
    <w:name w:val="VTW Verdana"/>
    <w:basedOn w:val="Standaard"/>
    <w:next w:val="Standaard"/>
    <w:rsid w:val="00190E82"/>
    <w:pPr>
      <w:spacing w:line="180" w:lineRule="exact"/>
    </w:pPr>
    <w:rPr>
      <w:sz w:val="14"/>
      <w:szCs w:val="14"/>
    </w:rPr>
  </w:style>
  <w:style w:type="table" w:customStyle="1" w:styleId="VTWAanvraagformulierKop">
    <w:name w:val="VTW_Aanvraagformulier_Kop"/>
    <w:rsid w:val="00190E82"/>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VTWAanvraagformulierKopTwee">
    <w:name w:val="VTW_Aanvraagformulier_Kop_Twee"/>
    <w:rsid w:val="00190E82"/>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style>
  <w:style w:type="paragraph" w:customStyle="1" w:styleId="VTWKop">
    <w:name w:val="VTW_Kop"/>
    <w:basedOn w:val="Standaard"/>
    <w:next w:val="Standaard"/>
    <w:rsid w:val="00190E82"/>
    <w:pPr>
      <w:spacing w:line="280" w:lineRule="exact"/>
    </w:pPr>
    <w:rPr>
      <w:b/>
      <w:sz w:val="24"/>
      <w:szCs w:val="24"/>
    </w:rPr>
  </w:style>
  <w:style w:type="paragraph" w:customStyle="1" w:styleId="VTWOndertitel">
    <w:name w:val="VTW_Ondertitel"/>
    <w:basedOn w:val="Standaard"/>
    <w:next w:val="Standaard"/>
    <w:rsid w:val="00190E82"/>
    <w:rPr>
      <w:sz w:val="20"/>
      <w:szCs w:val="20"/>
    </w:rPr>
  </w:style>
  <w:style w:type="paragraph" w:customStyle="1" w:styleId="WitregelNota8pt">
    <w:name w:val="Witregel Nota 8pt"/>
    <w:next w:val="Standaard"/>
    <w:rsid w:val="00190E82"/>
    <w:pPr>
      <w:spacing w:line="160" w:lineRule="exact"/>
    </w:pPr>
    <w:rPr>
      <w:rFonts w:ascii="Verdana" w:hAnsi="Verdana"/>
      <w:color w:val="000000"/>
      <w:sz w:val="16"/>
      <w:szCs w:val="16"/>
    </w:rPr>
  </w:style>
  <w:style w:type="paragraph" w:customStyle="1" w:styleId="WitregelNota9pt">
    <w:name w:val="Witregel Nota 9pt"/>
    <w:next w:val="Standaard"/>
    <w:rsid w:val="00190E82"/>
    <w:pPr>
      <w:spacing w:line="180" w:lineRule="exact"/>
    </w:pPr>
    <w:rPr>
      <w:rFonts w:ascii="Verdana" w:hAnsi="Verdana"/>
      <w:color w:val="000000"/>
      <w:sz w:val="18"/>
      <w:szCs w:val="18"/>
    </w:rPr>
  </w:style>
  <w:style w:type="paragraph" w:customStyle="1" w:styleId="WitregelW1">
    <w:name w:val="Witregel W1"/>
    <w:next w:val="Standaard"/>
    <w:rsid w:val="00190E82"/>
    <w:pPr>
      <w:spacing w:line="90" w:lineRule="exact"/>
    </w:pPr>
    <w:rPr>
      <w:rFonts w:ascii="Verdana" w:hAnsi="Verdana"/>
      <w:color w:val="000000"/>
      <w:sz w:val="9"/>
      <w:szCs w:val="9"/>
    </w:rPr>
  </w:style>
  <w:style w:type="paragraph" w:customStyle="1" w:styleId="WitregelW1bodytekst">
    <w:name w:val="Witregel W1 (bodytekst)"/>
    <w:next w:val="Standaard"/>
    <w:rsid w:val="00190E82"/>
    <w:pPr>
      <w:spacing w:line="240" w:lineRule="exact"/>
    </w:pPr>
    <w:rPr>
      <w:rFonts w:ascii="Verdana" w:hAnsi="Verdana"/>
      <w:color w:val="000000"/>
      <w:sz w:val="18"/>
      <w:szCs w:val="18"/>
    </w:rPr>
  </w:style>
  <w:style w:type="paragraph" w:customStyle="1" w:styleId="WitregelW2">
    <w:name w:val="Witregel W2"/>
    <w:next w:val="Standaard"/>
    <w:rsid w:val="00190E82"/>
    <w:pPr>
      <w:spacing w:line="270" w:lineRule="exact"/>
    </w:pPr>
    <w:rPr>
      <w:rFonts w:ascii="Verdana" w:hAnsi="Verdana"/>
      <w:color w:val="000000"/>
      <w:sz w:val="27"/>
      <w:szCs w:val="27"/>
    </w:rPr>
  </w:style>
  <w:style w:type="paragraph" w:customStyle="1" w:styleId="Witregel1pt">
    <w:name w:val="Witregel_1pt"/>
    <w:basedOn w:val="Standaard"/>
    <w:next w:val="Standaard"/>
    <w:rsid w:val="00190E82"/>
    <w:rPr>
      <w:sz w:val="2"/>
      <w:szCs w:val="2"/>
    </w:rPr>
  </w:style>
  <w:style w:type="paragraph" w:customStyle="1" w:styleId="wittetekst">
    <w:name w:val="witte tekst"/>
    <w:basedOn w:val="StandaardHvK"/>
    <w:rsid w:val="00190E82"/>
    <w:pPr>
      <w:spacing w:line="130" w:lineRule="exact"/>
    </w:pPr>
    <w:rPr>
      <w:rFonts w:ascii="Verdana" w:hAnsi="Verdana"/>
      <w:color w:val="FFFFFF"/>
      <w:sz w:val="13"/>
      <w:szCs w:val="13"/>
    </w:rPr>
  </w:style>
  <w:style w:type="paragraph" w:customStyle="1" w:styleId="WOBBesluitBijlageKop">
    <w:name w:val="WOB Besluit Bijlage Kop"/>
    <w:basedOn w:val="Standaard"/>
    <w:next w:val="Standaard"/>
    <w:rsid w:val="00190E82"/>
    <w:pPr>
      <w:pageBreakBefore/>
      <w:numPr>
        <w:numId w:val="3"/>
      </w:numPr>
      <w:spacing w:before="180"/>
    </w:pPr>
    <w:rPr>
      <w:b/>
    </w:rPr>
  </w:style>
  <w:style w:type="paragraph" w:customStyle="1" w:styleId="WOBBesluitBijlageLidArtikel">
    <w:name w:val="WOB Besluit Bijlage Lid Artikel"/>
    <w:basedOn w:val="Standaard"/>
    <w:next w:val="Standaard"/>
    <w:rsid w:val="00190E82"/>
    <w:pPr>
      <w:numPr>
        <w:numId w:val="4"/>
      </w:numPr>
      <w:ind w:firstLine="0"/>
    </w:pPr>
  </w:style>
  <w:style w:type="paragraph" w:customStyle="1" w:styleId="WOBBesluitKop">
    <w:name w:val="WOB Besluit Kop"/>
    <w:basedOn w:val="Standaard"/>
    <w:next w:val="Standaard"/>
    <w:rsid w:val="00190E82"/>
    <w:pPr>
      <w:spacing w:before="180"/>
    </w:pPr>
    <w:rPr>
      <w:b/>
    </w:rPr>
  </w:style>
  <w:style w:type="paragraph" w:customStyle="1" w:styleId="WOBBesluitLidgenummerd">
    <w:name w:val="WOB Besluit Lid genummerd"/>
    <w:basedOn w:val="Standaard"/>
    <w:next w:val="Standaard"/>
    <w:rsid w:val="00190E82"/>
    <w:pPr>
      <w:numPr>
        <w:numId w:val="5"/>
      </w:numPr>
    </w:pPr>
  </w:style>
  <w:style w:type="paragraph" w:customStyle="1" w:styleId="WOBBesluitStandaard">
    <w:name w:val="WOB Besluit Standaard"/>
    <w:basedOn w:val="Standaard"/>
    <w:next w:val="Standaard"/>
    <w:rsid w:val="00190E82"/>
    <w:pPr>
      <w:spacing w:after="180"/>
    </w:pPr>
  </w:style>
  <w:style w:type="paragraph" w:customStyle="1" w:styleId="WOBBesluitSubkop">
    <w:name w:val="WOB Besluit Subkop"/>
    <w:basedOn w:val="Standaard"/>
    <w:next w:val="Standaard"/>
    <w:rsid w:val="00190E82"/>
    <w:pPr>
      <w:spacing w:before="180" w:after="180"/>
    </w:pPr>
    <w:rPr>
      <w:i/>
    </w:rPr>
  </w:style>
  <w:style w:type="paragraph" w:customStyle="1" w:styleId="WobBijlageLedenArtikel1">
    <w:name w:val="Wob_Bijlage_Leden_Artikel_1"/>
    <w:basedOn w:val="Standaard"/>
    <w:next w:val="Standaard"/>
    <w:rsid w:val="00190E82"/>
  </w:style>
  <w:style w:type="paragraph" w:customStyle="1" w:styleId="WobBijlageLedenArtikel10">
    <w:name w:val="Wob_Bijlage_Leden_Artikel_10"/>
    <w:basedOn w:val="Standaard"/>
    <w:next w:val="Standaard"/>
    <w:rsid w:val="00190E82"/>
  </w:style>
  <w:style w:type="paragraph" w:customStyle="1" w:styleId="WobBijlageLedenArtikel11">
    <w:name w:val="Wob_Bijlage_Leden_Artikel_11"/>
    <w:basedOn w:val="Standaard"/>
    <w:next w:val="Standaard"/>
    <w:rsid w:val="00190E82"/>
  </w:style>
  <w:style w:type="paragraph" w:customStyle="1" w:styleId="WobBijlageLedenArtikel3">
    <w:name w:val="Wob_Bijlage_Leden_Artikel_3"/>
    <w:basedOn w:val="Standaard"/>
    <w:next w:val="Standaard"/>
    <w:rsid w:val="00190E82"/>
  </w:style>
  <w:style w:type="paragraph" w:customStyle="1" w:styleId="WobBijlageLedenArtikel6">
    <w:name w:val="Wob_Bijlage_Leden_Artikel_6"/>
    <w:basedOn w:val="Standaard"/>
    <w:next w:val="Standaard"/>
    <w:rsid w:val="00190E82"/>
  </w:style>
  <w:style w:type="paragraph" w:customStyle="1" w:styleId="WobBijlageLedenArtikel7">
    <w:name w:val="Wob_Bijlage_Leden_Artikel_7"/>
    <w:basedOn w:val="Standaard"/>
    <w:next w:val="Standaard"/>
    <w:rsid w:val="00190E82"/>
  </w:style>
  <w:style w:type="paragraph" w:customStyle="1" w:styleId="Workaroundalineatekstblok">
    <w:name w:val="Workaround alinea tekstblok"/>
    <w:rsid w:val="00190E82"/>
    <w:pPr>
      <w:spacing w:after="180" w:line="240" w:lineRule="exact"/>
    </w:pPr>
    <w:rPr>
      <w:rFonts w:ascii="Verdana" w:hAnsi="Verdana"/>
      <w:color w:val="000000"/>
      <w:sz w:val="18"/>
      <w:szCs w:val="18"/>
    </w:rPr>
  </w:style>
  <w:style w:type="paragraph" w:customStyle="1" w:styleId="Workaroundfunctieondertekenaar">
    <w:name w:val="Workaround functie ondertekenaar"/>
    <w:next w:val="Standaard"/>
    <w:rsid w:val="00190E82"/>
    <w:pPr>
      <w:spacing w:line="240" w:lineRule="exact"/>
    </w:pPr>
    <w:rPr>
      <w:rFonts w:ascii="Verdana" w:hAnsi="Verdana"/>
      <w:i/>
      <w:color w:val="000000"/>
      <w:sz w:val="18"/>
      <w:szCs w:val="18"/>
    </w:rPr>
  </w:style>
  <w:style w:type="paragraph" w:customStyle="1" w:styleId="Workaroundgroetregel">
    <w:name w:val="Workaround groetregel"/>
    <w:next w:val="Standaard"/>
    <w:rsid w:val="00190E82"/>
    <w:pPr>
      <w:spacing w:before="360" w:line="240" w:lineRule="exact"/>
    </w:pPr>
    <w:rPr>
      <w:rFonts w:ascii="Verdana" w:hAnsi="Verdana"/>
      <w:color w:val="000000"/>
      <w:sz w:val="18"/>
      <w:szCs w:val="18"/>
    </w:rPr>
  </w:style>
  <w:style w:type="paragraph" w:customStyle="1" w:styleId="Workaroundministerieondertekenaar">
    <w:name w:val="Workaround ministerie ondertekenaar"/>
    <w:next w:val="Standaard"/>
    <w:rsid w:val="00190E82"/>
    <w:pPr>
      <w:spacing w:after="720" w:line="240" w:lineRule="exact"/>
    </w:pPr>
    <w:rPr>
      <w:rFonts w:ascii="Verdana" w:hAnsi="Verdana"/>
      <w:color w:val="000000"/>
      <w:sz w:val="18"/>
      <w:szCs w:val="18"/>
    </w:rPr>
  </w:style>
  <w:style w:type="paragraph" w:customStyle="1" w:styleId="Workaroundnaamondertekenaar">
    <w:name w:val="Workaround naam ondertekenaar"/>
    <w:next w:val="Standaard"/>
    <w:rsid w:val="00190E82"/>
    <w:pPr>
      <w:spacing w:line="240" w:lineRule="exact"/>
    </w:pPr>
    <w:rPr>
      <w:rFonts w:ascii="Verdana" w:hAnsi="Verdana"/>
      <w:color w:val="000000"/>
      <w:sz w:val="18"/>
      <w:szCs w:val="18"/>
    </w:rPr>
  </w:style>
  <w:style w:type="paragraph" w:styleId="Koptekst">
    <w:name w:val="header"/>
    <w:basedOn w:val="Standaard"/>
    <w:link w:val="KoptekstChar"/>
    <w:uiPriority w:val="99"/>
    <w:unhideWhenUsed/>
    <w:rsid w:val="0096096C"/>
    <w:pPr>
      <w:tabs>
        <w:tab w:val="center" w:pos="4513"/>
        <w:tab w:val="right" w:pos="9026"/>
      </w:tabs>
      <w:spacing w:line="240" w:lineRule="auto"/>
    </w:pPr>
  </w:style>
  <w:style w:type="character" w:customStyle="1" w:styleId="KoptekstChar">
    <w:name w:val="Koptekst Char"/>
    <w:basedOn w:val="Standaardalinea-lettertype"/>
    <w:link w:val="Koptekst"/>
    <w:uiPriority w:val="99"/>
    <w:rsid w:val="0096096C"/>
    <w:rPr>
      <w:rFonts w:ascii="Verdana" w:hAnsi="Verdana"/>
      <w:color w:val="000000"/>
      <w:sz w:val="18"/>
      <w:szCs w:val="18"/>
    </w:rPr>
  </w:style>
  <w:style w:type="paragraph" w:styleId="Voettekst">
    <w:name w:val="footer"/>
    <w:basedOn w:val="Standaard"/>
    <w:link w:val="VoettekstChar"/>
    <w:uiPriority w:val="99"/>
    <w:unhideWhenUsed/>
    <w:rsid w:val="0096096C"/>
    <w:pPr>
      <w:tabs>
        <w:tab w:val="center" w:pos="4513"/>
        <w:tab w:val="right" w:pos="9026"/>
      </w:tabs>
      <w:spacing w:line="240" w:lineRule="auto"/>
    </w:pPr>
  </w:style>
  <w:style w:type="character" w:customStyle="1" w:styleId="VoettekstChar">
    <w:name w:val="Voettekst Char"/>
    <w:basedOn w:val="Standaardalinea-lettertype"/>
    <w:link w:val="Voettekst"/>
    <w:uiPriority w:val="99"/>
    <w:rsid w:val="0096096C"/>
    <w:rPr>
      <w:rFonts w:ascii="Verdana" w:hAnsi="Verdana"/>
      <w:color w:val="000000"/>
      <w:sz w:val="18"/>
      <w:szCs w:val="18"/>
    </w:rPr>
  </w:style>
  <w:style w:type="character" w:styleId="Verwijzingopmerking">
    <w:name w:val="annotation reference"/>
    <w:basedOn w:val="Standaardalinea-lettertype"/>
    <w:uiPriority w:val="99"/>
    <w:unhideWhenUsed/>
    <w:rsid w:val="0018209C"/>
    <w:rPr>
      <w:sz w:val="16"/>
      <w:szCs w:val="16"/>
    </w:rPr>
  </w:style>
  <w:style w:type="paragraph" w:styleId="Tekstopmerking">
    <w:name w:val="annotation text"/>
    <w:basedOn w:val="Standaard"/>
    <w:link w:val="TekstopmerkingChar"/>
    <w:uiPriority w:val="99"/>
    <w:semiHidden/>
    <w:unhideWhenUsed/>
    <w:rsid w:val="0018209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8209C"/>
    <w:rPr>
      <w:rFonts w:ascii="Verdana" w:hAnsi="Verdana"/>
      <w:color w:val="000000"/>
    </w:rPr>
  </w:style>
  <w:style w:type="paragraph" w:styleId="Onderwerpvanopmerking">
    <w:name w:val="annotation subject"/>
    <w:basedOn w:val="Tekstopmerking"/>
    <w:next w:val="Tekstopmerking"/>
    <w:link w:val="OnderwerpvanopmerkingChar"/>
    <w:uiPriority w:val="99"/>
    <w:semiHidden/>
    <w:unhideWhenUsed/>
    <w:rsid w:val="0018209C"/>
    <w:rPr>
      <w:b/>
      <w:bCs/>
    </w:rPr>
  </w:style>
  <w:style w:type="character" w:customStyle="1" w:styleId="OnderwerpvanopmerkingChar">
    <w:name w:val="Onderwerp van opmerking Char"/>
    <w:basedOn w:val="TekstopmerkingChar"/>
    <w:link w:val="Onderwerpvanopmerking"/>
    <w:uiPriority w:val="99"/>
    <w:semiHidden/>
    <w:rsid w:val="0018209C"/>
    <w:rPr>
      <w:rFonts w:ascii="Verdana" w:hAnsi="Verdana"/>
      <w:b/>
      <w:bCs/>
      <w:color w:val="000000"/>
    </w:rPr>
  </w:style>
  <w:style w:type="paragraph" w:styleId="Ballontekst">
    <w:name w:val="Balloon Text"/>
    <w:basedOn w:val="Standaard"/>
    <w:link w:val="BallontekstChar"/>
    <w:uiPriority w:val="99"/>
    <w:semiHidden/>
    <w:unhideWhenUsed/>
    <w:rsid w:val="0018209C"/>
    <w:pPr>
      <w:spacing w:line="240" w:lineRule="auto"/>
    </w:pPr>
    <w:rPr>
      <w:rFonts w:ascii="Segoe UI" w:hAnsi="Segoe UI" w:cs="Segoe UI"/>
    </w:rPr>
  </w:style>
  <w:style w:type="character" w:customStyle="1" w:styleId="BallontekstChar">
    <w:name w:val="Ballontekst Char"/>
    <w:basedOn w:val="Standaardalinea-lettertype"/>
    <w:link w:val="Ballontekst"/>
    <w:uiPriority w:val="99"/>
    <w:semiHidden/>
    <w:rsid w:val="0018209C"/>
    <w:rPr>
      <w:rFonts w:ascii="Segoe UI" w:hAnsi="Segoe UI" w:cs="Segoe UI"/>
      <w:color w:val="000000"/>
      <w:sz w:val="18"/>
      <w:szCs w:val="18"/>
    </w:rPr>
  </w:style>
  <w:style w:type="paragraph" w:styleId="Voetnoottekst">
    <w:name w:val="footnote text"/>
    <w:basedOn w:val="Standaard"/>
    <w:link w:val="VoetnoottekstChar"/>
    <w:uiPriority w:val="99"/>
    <w:semiHidden/>
    <w:unhideWhenUsed/>
    <w:rsid w:val="000E01EA"/>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0E01EA"/>
    <w:rPr>
      <w:rFonts w:ascii="Verdana" w:hAnsi="Verdana"/>
      <w:color w:val="000000"/>
    </w:rPr>
  </w:style>
  <w:style w:type="character" w:styleId="Voetnootmarkering">
    <w:name w:val="footnote reference"/>
    <w:basedOn w:val="Standaardalinea-lettertype"/>
    <w:unhideWhenUsed/>
    <w:rsid w:val="000E01EA"/>
    <w:rPr>
      <w:vertAlign w:val="superscript"/>
    </w:rPr>
  </w:style>
  <w:style w:type="character" w:styleId="Hyperlink">
    <w:name w:val="Hyperlink"/>
    <w:basedOn w:val="Standaardalinea-lettertype"/>
    <w:uiPriority w:val="99"/>
    <w:unhideWhenUsed/>
    <w:rsid w:val="00966DF7"/>
    <w:rPr>
      <w:color w:val="0563C1" w:themeColor="hyperlink"/>
      <w:u w:val="single"/>
    </w:rPr>
  </w:style>
  <w:style w:type="paragraph" w:styleId="Geenafstand">
    <w:name w:val="No Spacing"/>
    <w:basedOn w:val="Standaard"/>
    <w:uiPriority w:val="1"/>
    <w:qFormat/>
    <w:rsid w:val="0009779B"/>
  </w:style>
  <w:style w:type="character" w:customStyle="1" w:styleId="Kop1Char">
    <w:name w:val="Kop 1 Char"/>
    <w:basedOn w:val="Standaardalinea-lettertype"/>
    <w:link w:val="Kop1"/>
    <w:uiPriority w:val="9"/>
    <w:rsid w:val="0009779B"/>
    <w:rPr>
      <w:rFonts w:ascii="Verdana" w:hAnsi="Verdana"/>
      <w:b/>
      <w:color w:val="000000"/>
      <w:sz w:val="18"/>
      <w:szCs w:val="18"/>
    </w:rPr>
  </w:style>
  <w:style w:type="character" w:customStyle="1" w:styleId="Kop2Char">
    <w:name w:val="Kop 2 Char"/>
    <w:basedOn w:val="Standaardalinea-lettertype"/>
    <w:link w:val="Kop2"/>
    <w:uiPriority w:val="9"/>
    <w:rsid w:val="0009779B"/>
    <w:rPr>
      <w:rFonts w:ascii="Verdana" w:hAnsi="Verdana"/>
      <w:i/>
      <w:color w:val="000000"/>
      <w:sz w:val="18"/>
      <w:szCs w:val="18"/>
    </w:rPr>
  </w:style>
  <w:style w:type="paragraph" w:styleId="Lijstalinea">
    <w:name w:val="List Paragraph"/>
    <w:basedOn w:val="Standaard"/>
    <w:uiPriority w:val="34"/>
    <w:qFormat/>
    <w:rsid w:val="00DF1F2C"/>
    <w:pPr>
      <w:ind w:left="720"/>
      <w:contextualSpacing/>
    </w:pPr>
  </w:style>
  <w:style w:type="character" w:styleId="Nadruk">
    <w:name w:val="Emphasis"/>
    <w:basedOn w:val="Standaardalinea-lettertype"/>
    <w:uiPriority w:val="20"/>
    <w:qFormat/>
    <w:rsid w:val="001F17AF"/>
    <w:rPr>
      <w:i/>
      <w:iCs/>
    </w:rPr>
  </w:style>
  <w:style w:type="character" w:styleId="GevolgdeHyperlink">
    <w:name w:val="FollowedHyperlink"/>
    <w:basedOn w:val="Standaardalinea-lettertype"/>
    <w:uiPriority w:val="99"/>
    <w:semiHidden/>
    <w:unhideWhenUsed/>
    <w:rsid w:val="005413BF"/>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webSettings0.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hart" Target="charts/chart2.xml"/><Relationship Id="rId3" Type="http://schemas.openxmlformats.org/officeDocument/2006/relationships/customXml" Target="../customXml/item3.xml"/><Relationship Id="rId21" Type="http://schemas.openxmlformats.org/officeDocument/2006/relationships/webSetting" Target="webSettings0.xml"/><Relationship Id="rId7" Type="http://schemas.microsoft.com/office/2007/relationships/stylesWithEffects" Target="stylesWithEffects.xml"/><Relationship Id="rId12" Type="http://schemas.openxmlformats.org/officeDocument/2006/relationships/chart" Target="charts/chart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herindelingghtb.nl/" TargetMode="External"/><Relationship Id="rId2" Type="http://schemas.openxmlformats.org/officeDocument/2006/relationships/hyperlink" Target="http://www.raadsnetharen.nl" TargetMode="External"/><Relationship Id="rId1" Type="http://schemas.openxmlformats.org/officeDocument/2006/relationships/hyperlink" Target="http://www.raadsnetharen.nl"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pivotSource>
    <c:name>[Map2]Blad1!Draaitabel2</c:name>
    <c:fmtId val="-1"/>
  </c:pivotSource>
  <c:chart>
    <c:autoTitleDeleted val="0"/>
    <c:pivotFmts>
      <c:pivotFmt>
        <c:idx val="0"/>
        <c:marker>
          <c:symbol val="none"/>
        </c:marker>
      </c:pivotFmt>
      <c:pivotFmt>
        <c:idx val="1"/>
        <c:marker>
          <c:symbol val="none"/>
        </c:marker>
      </c:pivotFmt>
      <c:pivotFmt>
        <c:idx val="2"/>
        <c:marker>
          <c:symbol val="none"/>
        </c:marker>
      </c:pivotFmt>
    </c:pivotFmts>
    <c:plotArea>
      <c:layout/>
      <c:barChart>
        <c:barDir val="col"/>
        <c:grouping val="clustered"/>
        <c:varyColors val="0"/>
        <c:ser>
          <c:idx val="0"/>
          <c:order val="0"/>
          <c:tx>
            <c:strRef>
              <c:f>Blad1!$B$28</c:f>
              <c:strCache>
                <c:ptCount val="1"/>
                <c:pt idx="0">
                  <c:v>gemeente Groningen</c:v>
                </c:pt>
              </c:strCache>
            </c:strRef>
          </c:tx>
          <c:invertIfNegative val="0"/>
          <c:cat>
            <c:strRef>
              <c:f>Blad1!$A$29:$A$33</c:f>
              <c:strCache>
                <c:ptCount val="4"/>
                <c:pt idx="0">
                  <c:v>2014</c:v>
                </c:pt>
                <c:pt idx="1">
                  <c:v>2015</c:v>
                </c:pt>
                <c:pt idx="2">
                  <c:v>2016</c:v>
                </c:pt>
                <c:pt idx="3">
                  <c:v>2017</c:v>
                </c:pt>
              </c:strCache>
            </c:strRef>
          </c:cat>
          <c:val>
            <c:numRef>
              <c:f>Blad1!$B$29:$B$33</c:f>
              <c:numCache>
                <c:formatCode>General</c:formatCode>
                <c:ptCount val="4"/>
                <c:pt idx="0">
                  <c:v>633</c:v>
                </c:pt>
                <c:pt idx="1">
                  <c:v>639</c:v>
                </c:pt>
                <c:pt idx="2">
                  <c:v>650</c:v>
                </c:pt>
                <c:pt idx="3">
                  <c:v>649</c:v>
                </c:pt>
              </c:numCache>
            </c:numRef>
          </c:val>
          <c:extLst xmlns:c16r2="http://schemas.microsoft.com/office/drawing/2015/06/chart">
            <c:ext xmlns:c16="http://schemas.microsoft.com/office/drawing/2014/chart" uri="{C3380CC4-5D6E-409C-BE32-E72D297353CC}">
              <c16:uniqueId val="{00000000-4E8F-4649-9A76-6E7A4D478F65}"/>
            </c:ext>
          </c:extLst>
        </c:ser>
        <c:ser>
          <c:idx val="1"/>
          <c:order val="1"/>
          <c:tx>
            <c:strRef>
              <c:f>Blad1!$C$28</c:f>
              <c:strCache>
                <c:ptCount val="1"/>
                <c:pt idx="0">
                  <c:v>gemeente Ten Boer</c:v>
                </c:pt>
              </c:strCache>
            </c:strRef>
          </c:tx>
          <c:invertIfNegative val="0"/>
          <c:cat>
            <c:strRef>
              <c:f>Blad1!$A$29:$A$33</c:f>
              <c:strCache>
                <c:ptCount val="4"/>
                <c:pt idx="0">
                  <c:v>2014</c:v>
                </c:pt>
                <c:pt idx="1">
                  <c:v>2015</c:v>
                </c:pt>
                <c:pt idx="2">
                  <c:v>2016</c:v>
                </c:pt>
                <c:pt idx="3">
                  <c:v>2017</c:v>
                </c:pt>
              </c:strCache>
            </c:strRef>
          </c:cat>
          <c:val>
            <c:numRef>
              <c:f>Blad1!$C$29:$C$33</c:f>
              <c:numCache>
                <c:formatCode>General</c:formatCode>
                <c:ptCount val="4"/>
                <c:pt idx="0">
                  <c:v>800</c:v>
                </c:pt>
                <c:pt idx="1">
                  <c:v>838</c:v>
                </c:pt>
                <c:pt idx="2">
                  <c:v>853</c:v>
                </c:pt>
                <c:pt idx="3">
                  <c:v>862</c:v>
                </c:pt>
              </c:numCache>
            </c:numRef>
          </c:val>
          <c:extLst xmlns:c16r2="http://schemas.microsoft.com/office/drawing/2015/06/chart">
            <c:ext xmlns:c16="http://schemas.microsoft.com/office/drawing/2014/chart" uri="{C3380CC4-5D6E-409C-BE32-E72D297353CC}">
              <c16:uniqueId val="{00000001-4E8F-4649-9A76-6E7A4D478F65}"/>
            </c:ext>
          </c:extLst>
        </c:ser>
        <c:ser>
          <c:idx val="2"/>
          <c:order val="2"/>
          <c:tx>
            <c:strRef>
              <c:f>Blad1!$D$28</c:f>
              <c:strCache>
                <c:ptCount val="1"/>
                <c:pt idx="0">
                  <c:v>gemeente Haren</c:v>
                </c:pt>
              </c:strCache>
            </c:strRef>
          </c:tx>
          <c:invertIfNegative val="0"/>
          <c:cat>
            <c:strRef>
              <c:f>Blad1!$A$29:$A$33</c:f>
              <c:strCache>
                <c:ptCount val="4"/>
                <c:pt idx="0">
                  <c:v>2014</c:v>
                </c:pt>
                <c:pt idx="1">
                  <c:v>2015</c:v>
                </c:pt>
                <c:pt idx="2">
                  <c:v>2016</c:v>
                </c:pt>
                <c:pt idx="3">
                  <c:v>2017</c:v>
                </c:pt>
              </c:strCache>
            </c:strRef>
          </c:cat>
          <c:val>
            <c:numRef>
              <c:f>Blad1!$D$29:$D$33</c:f>
              <c:numCache>
                <c:formatCode>General</c:formatCode>
                <c:ptCount val="4"/>
                <c:pt idx="0">
                  <c:v>736</c:v>
                </c:pt>
                <c:pt idx="1">
                  <c:v>748</c:v>
                </c:pt>
                <c:pt idx="2">
                  <c:v>759</c:v>
                </c:pt>
                <c:pt idx="3">
                  <c:v>809</c:v>
                </c:pt>
              </c:numCache>
            </c:numRef>
          </c:val>
          <c:extLst xmlns:c16r2="http://schemas.microsoft.com/office/drawing/2015/06/chart">
            <c:ext xmlns:c16="http://schemas.microsoft.com/office/drawing/2014/chart" uri="{C3380CC4-5D6E-409C-BE32-E72D297353CC}">
              <c16:uniqueId val="{00000002-4E8F-4649-9A76-6E7A4D478F65}"/>
            </c:ext>
          </c:extLst>
        </c:ser>
        <c:dLbls>
          <c:showLegendKey val="0"/>
          <c:showVal val="0"/>
          <c:showCatName val="0"/>
          <c:showSerName val="0"/>
          <c:showPercent val="0"/>
          <c:showBubbleSize val="0"/>
        </c:dLbls>
        <c:gapWidth val="150"/>
        <c:axId val="268364416"/>
        <c:axId val="273208064"/>
      </c:barChart>
      <c:catAx>
        <c:axId val="268364416"/>
        <c:scaling>
          <c:orientation val="minMax"/>
        </c:scaling>
        <c:delete val="0"/>
        <c:axPos val="b"/>
        <c:numFmt formatCode="General" sourceLinked="0"/>
        <c:majorTickMark val="out"/>
        <c:minorTickMark val="none"/>
        <c:tickLblPos val="nextTo"/>
        <c:crossAx val="273208064"/>
        <c:crosses val="autoZero"/>
        <c:auto val="0"/>
        <c:lblAlgn val="ctr"/>
        <c:lblOffset val="100"/>
        <c:noMultiLvlLbl val="0"/>
      </c:catAx>
      <c:valAx>
        <c:axId val="273208064"/>
        <c:scaling>
          <c:orientation val="minMax"/>
        </c:scaling>
        <c:delete val="0"/>
        <c:axPos val="l"/>
        <c:majorGridlines/>
        <c:numFmt formatCode="General" sourceLinked="1"/>
        <c:majorTickMark val="out"/>
        <c:minorTickMark val="none"/>
        <c:tickLblPos val="nextTo"/>
        <c:crossAx val="268364416"/>
        <c:crosses val="autoZero"/>
        <c:crossBetween val="between"/>
      </c:valAx>
    </c:plotArea>
    <c:legend>
      <c:legendPos val="r"/>
      <c:overlay val="0"/>
      <c:txPr>
        <a:bodyPr/>
        <a:lstStyle/>
        <a:p>
          <a:pPr>
            <a:defRPr sz="800">
              <a:latin typeface="Verdana" panose="020B0604030504040204" pitchFamily="34" charset="0"/>
              <a:ea typeface="Verdana" panose="020B0604030504040204" pitchFamily="34" charset="0"/>
              <a:cs typeface="Verdana" panose="020B0604030504040204" pitchFamily="34" charset="0"/>
            </a:defRPr>
          </a:pPr>
          <a:endParaRPr lang="nl-NL"/>
        </a:p>
      </c:txPr>
    </c:legend>
    <c:plotVisOnly val="1"/>
    <c:dispBlanksAs val="gap"/>
    <c:showDLblsOverMax val="0"/>
  </c:chart>
  <c:externalData r:id="rId2">
    <c:autoUpdate val="0"/>
  </c:externalData>
  <c:extLst xmlns:c16r2="http://schemas.microsoft.com/office/drawing/2015/06/char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pivotSource>
    <c:name>[Map1]Blad1!Draaitabel5</c:name>
    <c:fmtId val="-1"/>
  </c:pivotSource>
  <c:chart>
    <c:autoTitleDeleted val="0"/>
    <c:pivotFmts>
      <c:pivotFmt>
        <c:idx val="0"/>
        <c:marker>
          <c:symbol val="none"/>
        </c:marker>
      </c:pivotFmt>
      <c:pivotFmt>
        <c:idx val="1"/>
        <c:marker>
          <c:symbol val="none"/>
        </c:marker>
      </c:pivotFmt>
      <c:pivotFmt>
        <c:idx val="2"/>
        <c:marker>
          <c:symbol val="none"/>
        </c:marker>
      </c:pivotFmt>
    </c:pivotFmts>
    <c:plotArea>
      <c:layout/>
      <c:barChart>
        <c:barDir val="col"/>
        <c:grouping val="clustered"/>
        <c:varyColors val="0"/>
        <c:ser>
          <c:idx val="0"/>
          <c:order val="0"/>
          <c:tx>
            <c:strRef>
              <c:f>Blad1!$B$41</c:f>
              <c:strCache>
                <c:ptCount val="1"/>
                <c:pt idx="0">
                  <c:v>gemeente Groningen</c:v>
                </c:pt>
              </c:strCache>
            </c:strRef>
          </c:tx>
          <c:invertIfNegative val="0"/>
          <c:cat>
            <c:strRef>
              <c:f>Blad1!$A$42:$A$46</c:f>
              <c:strCache>
                <c:ptCount val="4"/>
                <c:pt idx="0">
                  <c:v>2014</c:v>
                </c:pt>
                <c:pt idx="1">
                  <c:v>2015</c:v>
                </c:pt>
                <c:pt idx="2">
                  <c:v>2016</c:v>
                </c:pt>
                <c:pt idx="3">
                  <c:v>2017</c:v>
                </c:pt>
              </c:strCache>
            </c:strRef>
          </c:cat>
          <c:val>
            <c:numRef>
              <c:f>Blad1!$B$42:$B$46</c:f>
              <c:numCache>
                <c:formatCode>General</c:formatCode>
                <c:ptCount val="4"/>
                <c:pt idx="0">
                  <c:v>731</c:v>
                </c:pt>
                <c:pt idx="1">
                  <c:v>737</c:v>
                </c:pt>
                <c:pt idx="2">
                  <c:v>748</c:v>
                </c:pt>
                <c:pt idx="3">
                  <c:v>745</c:v>
                </c:pt>
              </c:numCache>
            </c:numRef>
          </c:val>
          <c:extLst xmlns:c16r2="http://schemas.microsoft.com/office/drawing/2015/06/chart">
            <c:ext xmlns:c16="http://schemas.microsoft.com/office/drawing/2014/chart" uri="{C3380CC4-5D6E-409C-BE32-E72D297353CC}">
              <c16:uniqueId val="{00000000-FDA6-4F30-8153-16B52086F51B}"/>
            </c:ext>
          </c:extLst>
        </c:ser>
        <c:ser>
          <c:idx val="1"/>
          <c:order val="1"/>
          <c:tx>
            <c:strRef>
              <c:f>Blad1!$C$41</c:f>
              <c:strCache>
                <c:ptCount val="1"/>
                <c:pt idx="0">
                  <c:v>gemeente Ten Boer</c:v>
                </c:pt>
              </c:strCache>
            </c:strRef>
          </c:tx>
          <c:invertIfNegative val="0"/>
          <c:cat>
            <c:strRef>
              <c:f>Blad1!$A$42:$A$46</c:f>
              <c:strCache>
                <c:ptCount val="4"/>
                <c:pt idx="0">
                  <c:v>2014</c:v>
                </c:pt>
                <c:pt idx="1">
                  <c:v>2015</c:v>
                </c:pt>
                <c:pt idx="2">
                  <c:v>2016</c:v>
                </c:pt>
                <c:pt idx="3">
                  <c:v>2017</c:v>
                </c:pt>
              </c:strCache>
            </c:strRef>
          </c:cat>
          <c:val>
            <c:numRef>
              <c:f>Blad1!$C$42:$C$46</c:f>
              <c:numCache>
                <c:formatCode>General</c:formatCode>
                <c:ptCount val="4"/>
                <c:pt idx="0">
                  <c:v>800</c:v>
                </c:pt>
                <c:pt idx="1">
                  <c:v>838</c:v>
                </c:pt>
                <c:pt idx="2">
                  <c:v>853</c:v>
                </c:pt>
                <c:pt idx="3">
                  <c:v>862</c:v>
                </c:pt>
              </c:numCache>
            </c:numRef>
          </c:val>
          <c:extLst xmlns:c16r2="http://schemas.microsoft.com/office/drawing/2015/06/chart">
            <c:ext xmlns:c16="http://schemas.microsoft.com/office/drawing/2014/chart" uri="{C3380CC4-5D6E-409C-BE32-E72D297353CC}">
              <c16:uniqueId val="{00000001-FDA6-4F30-8153-16B52086F51B}"/>
            </c:ext>
          </c:extLst>
        </c:ser>
        <c:ser>
          <c:idx val="2"/>
          <c:order val="2"/>
          <c:tx>
            <c:strRef>
              <c:f>Blad1!$D$41</c:f>
              <c:strCache>
                <c:ptCount val="1"/>
                <c:pt idx="0">
                  <c:v>gemeente Haren</c:v>
                </c:pt>
              </c:strCache>
            </c:strRef>
          </c:tx>
          <c:invertIfNegative val="0"/>
          <c:cat>
            <c:strRef>
              <c:f>Blad1!$A$42:$A$46</c:f>
              <c:strCache>
                <c:ptCount val="4"/>
                <c:pt idx="0">
                  <c:v>2014</c:v>
                </c:pt>
                <c:pt idx="1">
                  <c:v>2015</c:v>
                </c:pt>
                <c:pt idx="2">
                  <c:v>2016</c:v>
                </c:pt>
                <c:pt idx="3">
                  <c:v>2017</c:v>
                </c:pt>
              </c:strCache>
            </c:strRef>
          </c:cat>
          <c:val>
            <c:numRef>
              <c:f>Blad1!$D$42:$D$46</c:f>
              <c:numCache>
                <c:formatCode>General</c:formatCode>
                <c:ptCount val="4"/>
                <c:pt idx="0">
                  <c:v>809</c:v>
                </c:pt>
                <c:pt idx="1">
                  <c:v>818</c:v>
                </c:pt>
                <c:pt idx="2">
                  <c:v>832</c:v>
                </c:pt>
                <c:pt idx="3">
                  <c:v>875</c:v>
                </c:pt>
              </c:numCache>
            </c:numRef>
          </c:val>
          <c:extLst xmlns:c16r2="http://schemas.microsoft.com/office/drawing/2015/06/chart">
            <c:ext xmlns:c16="http://schemas.microsoft.com/office/drawing/2014/chart" uri="{C3380CC4-5D6E-409C-BE32-E72D297353CC}">
              <c16:uniqueId val="{00000002-FDA6-4F30-8153-16B52086F51B}"/>
            </c:ext>
          </c:extLst>
        </c:ser>
        <c:dLbls>
          <c:showLegendKey val="0"/>
          <c:showVal val="0"/>
          <c:showCatName val="0"/>
          <c:showSerName val="0"/>
          <c:showPercent val="0"/>
          <c:showBubbleSize val="0"/>
        </c:dLbls>
        <c:gapWidth val="150"/>
        <c:axId val="267764096"/>
        <c:axId val="267765632"/>
      </c:barChart>
      <c:catAx>
        <c:axId val="267764096"/>
        <c:scaling>
          <c:orientation val="minMax"/>
        </c:scaling>
        <c:delete val="0"/>
        <c:axPos val="b"/>
        <c:numFmt formatCode="General" sourceLinked="0"/>
        <c:majorTickMark val="out"/>
        <c:minorTickMark val="none"/>
        <c:tickLblPos val="nextTo"/>
        <c:crossAx val="267765632"/>
        <c:crosses val="autoZero"/>
        <c:auto val="0"/>
        <c:lblAlgn val="ctr"/>
        <c:lblOffset val="100"/>
        <c:noMultiLvlLbl val="0"/>
      </c:catAx>
      <c:valAx>
        <c:axId val="267765632"/>
        <c:scaling>
          <c:orientation val="minMax"/>
        </c:scaling>
        <c:delete val="0"/>
        <c:axPos val="l"/>
        <c:majorGridlines/>
        <c:numFmt formatCode="General" sourceLinked="1"/>
        <c:majorTickMark val="out"/>
        <c:minorTickMark val="none"/>
        <c:tickLblPos val="nextTo"/>
        <c:crossAx val="267764096"/>
        <c:crosses val="autoZero"/>
        <c:crossBetween val="between"/>
      </c:valAx>
    </c:plotArea>
    <c:legend>
      <c:legendPos val="r"/>
      <c:overlay val="0"/>
      <c:txPr>
        <a:bodyPr/>
        <a:lstStyle/>
        <a:p>
          <a:pPr>
            <a:defRPr sz="800">
              <a:latin typeface="Verdana" panose="020B0604030504040204" pitchFamily="34" charset="0"/>
              <a:ea typeface="Verdana" panose="020B0604030504040204" pitchFamily="34" charset="0"/>
              <a:cs typeface="Verdana" panose="020B0604030504040204" pitchFamily="34" charset="0"/>
            </a:defRPr>
          </a:pPr>
          <a:endParaRPr lang="nl-NL"/>
        </a:p>
      </c:txPr>
    </c:legend>
    <c:plotVisOnly val="1"/>
    <c:dispBlanksAs val="gap"/>
    <c:showDLblsOverMax val="0"/>
  </c:chart>
  <c:externalData r:id="rId2">
    <c:autoUpdate val="0"/>
  </c:externalData>
  <c:extLst xmlns:c16r2="http://schemas.microsoft.com/office/drawing/2015/06/char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C453815C1BA8047A37B38712281A56B" ma:contentTypeVersion="0" ma:contentTypeDescription="Een nieuw document maken." ma:contentTypeScope="" ma:versionID="322a48f2193c052c837f331cad24f034">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CE7D12-1140-4A62-AEDF-E1CF9695E47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2DC2C9-30CF-4BD5-9E09-EA0777B594A1}">
  <ds:schemaRefs>
    <ds:schemaRef ds:uri="http://schemas.microsoft.com/sharepoint/v3/contenttype/forms"/>
  </ds:schemaRefs>
</ds:datastoreItem>
</file>

<file path=customXml/itemProps3.xml><?xml version="1.0" encoding="utf-8"?>
<ds:datastoreItem xmlns:ds="http://schemas.openxmlformats.org/officeDocument/2006/customXml" ds:itemID="{9F32EEE2-F2F7-4FDF-8478-C05A1E8DA6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702B6A1-DDDB-4881-A7F5-29C21BBAB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7220</Words>
  <Characters>39710</Characters>
  <Application>Microsoft Office Word</Application>
  <DocSecurity>0</DocSecurity>
  <Lines>330</Lines>
  <Paragraphs>93</Paragraphs>
  <ScaleCrop>false</ScaleCrop>
  <HeadingPairs>
    <vt:vector size="2" baseType="variant">
      <vt:variant>
        <vt:lpstr>Titel</vt:lpstr>
      </vt:variant>
      <vt:variant>
        <vt:i4>1</vt:i4>
      </vt:variant>
    </vt:vector>
  </HeadingPairs>
  <TitlesOfParts>
    <vt:vector size="1" baseType="lpstr">
      <vt:lpstr/>
    </vt:vector>
  </TitlesOfParts>
  <Company>Rijksoverheid</Company>
  <LinksUpToDate>false</LinksUpToDate>
  <CharactersWithSpaces>46837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Laan, Lotte van der</dc:creator>
  <cp:lastModifiedBy>biesveld@me.com</cp:lastModifiedBy>
  <cp:revision>2</cp:revision>
  <cp:lastPrinted>2018-03-05T15:56:00Z</cp:lastPrinted>
  <dcterms:created xsi:type="dcterms:W3CDTF">2018-03-05T16:19:00Z</dcterms:created>
  <dcterms:modified xsi:type="dcterms:W3CDTF">2018-03-05T16:19:00Z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nderwerp">
    <vt:lpwstr>Nota naar aanleiding van het verslag</vt:lpwstr>
  </property>
  <property fmtid="{D5CDD505-2E9C-101B-9397-08002B2CF9AE}" pid="3" name="Docgensjabloon">
    <vt:lpwstr>DocGen_Blanco document_nl_NL</vt:lpwstr>
  </property>
  <property fmtid="{D5CDD505-2E9C-101B-9397-08002B2CF9AE}" pid="4" name="ContentTypeId">
    <vt:lpwstr>0x0101004C453815C1BA8047A37B38712281A56B</vt:lpwstr>
  </property>
  <property fmtid="{D5CDD505-2E9C-101B-9397-08002B2CF9AE}" pid="5" name="Order">
    <vt:r8>26059900</vt:r8>
  </property>
</Properties>
</file>